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OHIO</w:t>
      </w:r>
      <w:r>
        <w:rPr>
          <w:spacing w:val="-13"/>
        </w:rPr>
        <w:t> </w:t>
      </w:r>
      <w:r>
        <w:rPr/>
        <w:t>LEASE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PURCHASE</w:t>
      </w:r>
      <w:r>
        <w:rPr>
          <w:spacing w:val="-11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676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727" w:val="left" w:leader="none"/>
          <w:tab w:pos="3941" w:val="left" w:leader="none"/>
          <w:tab w:pos="6595" w:val="left" w:leader="none"/>
          <w:tab w:pos="6919" w:val="left" w:leader="none"/>
          <w:tab w:pos="8119" w:val="left" w:leader="none"/>
        </w:tabs>
        <w:spacing w:line="278" w:lineRule="auto" w:before="44"/>
        <w:ind w:right="636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2976" w:val="left" w:leader="none"/>
          <w:tab w:pos="3363" w:val="left" w:leader="none"/>
          <w:tab w:pos="6648" w:val="left" w:leader="none"/>
        </w:tabs>
        <w:spacing w:line="417" w:lineRule="auto" w:before="203"/>
        <w:ind w:right="536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289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370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8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1798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5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148" w:val="left" w:leader="none"/>
          <w:tab w:pos="4968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8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715" w:val="left" w:leader="none"/>
        </w:tabs>
        <w:spacing w:line="278" w:lineRule="auto"/>
        <w:ind w:right="507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751" w:val="left" w:leader="none"/>
        </w:tabs>
        <w:spacing w:line="417" w:lineRule="auto" w:before="204"/>
        <w:ind w:left="-1"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440" w:right="1080"/>
          <w:pgNumType w:start="1"/>
        </w:sectPr>
      </w:pPr>
    </w:p>
    <w:p>
      <w:pPr>
        <w:pStyle w:val="BodyText"/>
        <w:spacing w:line="417" w:lineRule="auto" w:before="80"/>
        <w:ind w:right="28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7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469" w:val="left" w:leader="none"/>
          <w:tab w:pos="88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9206" w:val="left" w:leader="none"/>
          <w:tab w:pos="9339" w:val="left" w:leader="none"/>
          <w:tab w:pos="936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402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Ohio Lease to Purchase Option Agreement</cp:keywords>
  <dc:subject>Lease to Purchase Option Agreement</dc:subject>
  <dc:title>Ohio Lease to Purchase Option Agreement</dc:title>
  <dcterms:created xsi:type="dcterms:W3CDTF">2025-06-18T20:46:39Z</dcterms:created>
  <dcterms:modified xsi:type="dcterms:W3CDTF">2025-06-18T20:46:39Z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Services</vt:lpwstr>
  </property>
</Properties>
</file>