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MICHIGAN</w:t>
      </w:r>
      <w:r>
        <w:rPr>
          <w:spacing w:val="-22"/>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52"/>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Michigan, Sublease, Agreement</cp:keywords>
  <dc:subject>Michigan Sublease Agreement</dc:subject>
  <dc:title>Michigan Sublease Agreement</dc:title>
  <dcterms:created xsi:type="dcterms:W3CDTF">2025-03-13T16:21:25Z</dcterms:created>
  <dcterms:modified xsi:type="dcterms:W3CDTF">2025-03-13T16:21:25Z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2025-03-13T00:00:00Z</vt:filetime>
  </property>
</Properties>
</file>