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right="546"/>
        <w:jc w:val="center"/>
      </w:pPr>
      <w:r>
        <w:rPr/>
        <w:t>TEXAS</w:t>
      </w:r>
      <w:r>
        <w:rPr>
          <w:spacing w:val="-13"/>
        </w:rPr>
        <w:t> </w:t>
      </w:r>
      <w:r>
        <w:rPr/>
        <w:t>RESIDENTIAL</w:t>
      </w:r>
      <w:r>
        <w:rPr>
          <w:spacing w:val="-8"/>
        </w:rPr>
        <w:t> </w:t>
      </w:r>
      <w:r>
        <w:rPr/>
        <w:t>LEASE</w:t>
      </w:r>
      <w:r>
        <w:rPr>
          <w:spacing w:val="-14"/>
        </w:rPr>
        <w:t> </w:t>
      </w:r>
      <w:r>
        <w:rPr>
          <w:spacing w:val="-2"/>
        </w:rPr>
        <w:t>AGREEMENT</w:t>
      </w:r>
    </w:p>
    <w:p>
      <w:pPr>
        <w:pStyle w:val="BodyText"/>
        <w:spacing w:before="277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348" w:lineRule="auto" w:before="0" w:after="0"/>
        <w:ind w:left="480" w:right="742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Maine</w:t>
      </w:r>
      <w:r>
        <w:rPr>
          <w:spacing w:val="-6"/>
          <w:sz w:val="24"/>
        </w:rPr>
        <w:t> </w:t>
      </w:r>
      <w:r>
        <w:rPr>
          <w:sz w:val="24"/>
        </w:rPr>
        <w:t>Residential</w:t>
      </w:r>
      <w:r>
        <w:rPr>
          <w:spacing w:val="-6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on the undersigned date by and between:</w:t>
      </w:r>
    </w:p>
    <w:p>
      <w:pPr>
        <w:pStyle w:val="BodyText"/>
        <w:tabs>
          <w:tab w:pos="8755" w:val="left" w:leader="none"/>
          <w:tab w:pos="8808" w:val="left" w:leader="none"/>
        </w:tabs>
        <w:spacing w:line="348" w:lineRule="auto"/>
        <w:ind w:left="479" w:right="749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77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3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9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7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  <w:tab w:pos="1145" w:val="left" w:leader="none"/>
          <w:tab w:pos="6032" w:val="left" w:leader="none"/>
          <w:tab w:pos="8272" w:val="left" w:leader="none"/>
        </w:tabs>
        <w:spacing w:line="288" w:lineRule="auto" w:before="239" w:after="0"/>
        <w:ind w:left="840" w:right="672" w:hanging="1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0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0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0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20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7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Maine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446" w:right="546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spacing w:before="71"/>
        <w:ind w:left="2212"/>
      </w:pPr>
      <w:bookmarkStart w:name="Blank Page" w:id="1"/>
      <w:bookmarkEnd w:id="1"/>
      <w:r>
        <w:rPr>
          <w:b w:val="0"/>
        </w:rPr>
      </w:r>
      <w:r>
        <w:rPr>
          <w:u w:val="thick"/>
        </w:rPr>
        <w:t>REQUIRED</w:t>
      </w:r>
      <w:r>
        <w:rPr>
          <w:spacing w:val="-4"/>
          <w:u w:val="thick"/>
        </w:rPr>
        <w:t> </w:t>
      </w:r>
      <w:r>
        <w:rPr>
          <w:u w:val="thick"/>
        </w:rPr>
        <w:t>DISCLOSURE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FORMS</w:t>
      </w:r>
    </w:p>
    <w:p>
      <w:pPr>
        <w:pStyle w:val="BodyText"/>
        <w:spacing w:before="80"/>
        <w:rPr>
          <w:b/>
        </w:rPr>
      </w:pPr>
    </w:p>
    <w:p>
      <w:pPr>
        <w:pStyle w:val="ListParagraph"/>
        <w:numPr>
          <w:ilvl w:val="0"/>
          <w:numId w:val="15"/>
        </w:numPr>
        <w:tabs>
          <w:tab w:pos="703" w:val="left" w:leader="none"/>
          <w:tab w:pos="705" w:val="left" w:leader="none"/>
        </w:tabs>
        <w:spacing w:line="249" w:lineRule="auto" w:before="0" w:after="0"/>
        <w:ind w:left="705" w:right="1542" w:hanging="321"/>
        <w:jc w:val="both"/>
        <w:rPr>
          <w:sz w:val="24"/>
        </w:rPr>
      </w:pPr>
      <w:r>
        <w:rPr>
          <w:b/>
          <w:sz w:val="24"/>
        </w:rPr>
        <w:t>Flood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Plain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Disclosure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Landlords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inform</w:t>
      </w:r>
      <w:r>
        <w:rPr>
          <w:spacing w:val="-4"/>
          <w:sz w:val="24"/>
        </w:rPr>
        <w:t> </w:t>
      </w:r>
      <w:r>
        <w:rPr>
          <w:sz w:val="24"/>
        </w:rPr>
        <w:t>tenants</w:t>
      </w:r>
      <w:r>
        <w:rPr>
          <w:spacing w:val="-4"/>
          <w:sz w:val="24"/>
        </w:rPr>
        <w:t> </w:t>
      </w:r>
      <w:r>
        <w:rPr>
          <w:sz w:val="24"/>
        </w:rPr>
        <w:t>if the property is within a 100-year flood plain.</w:t>
      </w:r>
    </w:p>
    <w:p>
      <w:pPr>
        <w:pStyle w:val="ListParagraph"/>
        <w:numPr>
          <w:ilvl w:val="0"/>
          <w:numId w:val="15"/>
        </w:numPr>
        <w:tabs>
          <w:tab w:pos="703" w:val="left" w:leader="none"/>
          <w:tab w:pos="705" w:val="left" w:leader="none"/>
        </w:tabs>
        <w:spacing w:line="249" w:lineRule="auto" w:before="2" w:after="0"/>
        <w:ind w:left="705" w:right="1794" w:hanging="321"/>
        <w:jc w:val="both"/>
        <w:rPr>
          <w:sz w:val="24"/>
        </w:rPr>
      </w:pPr>
      <w:r>
        <w:rPr>
          <w:b/>
          <w:sz w:val="24"/>
        </w:rPr>
        <w:t>Lead-Based Paint Disclosure Form </w:t>
      </w:r>
      <w:r>
        <w:rPr>
          <w:sz w:val="24"/>
        </w:rPr>
        <w:t>– For properties built before 1978,</w:t>
      </w:r>
      <w:r>
        <w:rPr>
          <w:spacing w:val="-5"/>
          <w:sz w:val="24"/>
        </w:rPr>
        <w:t> </w:t>
      </w:r>
      <w:r>
        <w:rPr>
          <w:sz w:val="24"/>
        </w:rPr>
        <w:t>landlords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give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tenant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lead-based</w:t>
      </w:r>
      <w:r>
        <w:rPr>
          <w:spacing w:val="-5"/>
          <w:sz w:val="24"/>
        </w:rPr>
        <w:t> </w:t>
      </w:r>
      <w:r>
        <w:rPr>
          <w:sz w:val="24"/>
        </w:rPr>
        <w:t>paint</w:t>
      </w:r>
      <w:r>
        <w:rPr>
          <w:spacing w:val="-5"/>
          <w:sz w:val="24"/>
        </w:rPr>
        <w:t> </w:t>
      </w:r>
      <w:r>
        <w:rPr>
          <w:sz w:val="24"/>
        </w:rPr>
        <w:t>disclosure </w:t>
      </w:r>
      <w:r>
        <w:rPr>
          <w:spacing w:val="-2"/>
          <w:sz w:val="24"/>
        </w:rPr>
        <w:t>form.</w:t>
      </w:r>
    </w:p>
    <w:p>
      <w:pPr>
        <w:pStyle w:val="ListParagraph"/>
        <w:numPr>
          <w:ilvl w:val="0"/>
          <w:numId w:val="15"/>
        </w:numPr>
        <w:tabs>
          <w:tab w:pos="703" w:val="left" w:leader="none"/>
          <w:tab w:pos="705" w:val="left" w:leader="none"/>
        </w:tabs>
        <w:spacing w:line="249" w:lineRule="auto" w:before="3" w:after="0"/>
        <w:ind w:left="705" w:right="1555" w:hanging="321"/>
        <w:jc w:val="left"/>
        <w:rPr>
          <w:sz w:val="24"/>
        </w:rPr>
      </w:pPr>
      <w:r>
        <w:rPr>
          <w:b/>
          <w:sz w:val="24"/>
        </w:rPr>
        <w:t>Property Ownership and Management Info </w:t>
      </w:r>
      <w:r>
        <w:rPr>
          <w:sz w:val="24"/>
        </w:rPr>
        <w:t>– Landlords must provide</w:t>
      </w:r>
      <w:r>
        <w:rPr>
          <w:spacing w:val="-4"/>
          <w:sz w:val="24"/>
        </w:rPr>
        <w:t> </w:t>
      </w:r>
      <w:r>
        <w:rPr>
          <w:sz w:val="24"/>
        </w:rPr>
        <w:t>tenants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full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owner and management company.</w:t>
      </w:r>
    </w:p>
    <w:p>
      <w:pPr>
        <w:pStyle w:val="ListParagraph"/>
        <w:numPr>
          <w:ilvl w:val="0"/>
          <w:numId w:val="15"/>
        </w:numPr>
        <w:tabs>
          <w:tab w:pos="703" w:val="left" w:leader="none"/>
          <w:tab w:pos="705" w:val="left" w:leader="none"/>
        </w:tabs>
        <w:spacing w:line="249" w:lineRule="auto" w:before="3" w:after="0"/>
        <w:ind w:left="705" w:right="1421" w:hanging="321"/>
        <w:jc w:val="left"/>
        <w:rPr>
          <w:sz w:val="24"/>
        </w:rPr>
      </w:pPr>
      <w:r>
        <w:rPr>
          <w:b/>
          <w:sz w:val="24"/>
        </w:rPr>
        <w:t>Utility Interruption Rights </w:t>
      </w:r>
      <w:r>
        <w:rPr>
          <w:sz w:val="24"/>
        </w:rPr>
        <w:t>– If landlords have the authority to cut off utilities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nonpayment,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40"/>
          <w:sz w:val="24"/>
        </w:rPr>
        <w:t> </w:t>
      </w:r>
      <w:r>
        <w:rPr>
          <w:sz w:val="24"/>
        </w:rPr>
        <w:t>outline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lease</w:t>
      </w:r>
      <w:r>
        <w:rPr>
          <w:spacing w:val="-4"/>
          <w:sz w:val="24"/>
        </w:rPr>
        <w:t> </w:t>
      </w:r>
      <w:r>
        <w:rPr>
          <w:sz w:val="24"/>
        </w:rPr>
        <w:t>agreement and give advance notice to the tenant before any service interruption.</w:t>
      </w:r>
    </w:p>
    <w:p>
      <w:pPr>
        <w:pStyle w:val="ListParagraph"/>
        <w:numPr>
          <w:ilvl w:val="0"/>
          <w:numId w:val="15"/>
        </w:numPr>
        <w:tabs>
          <w:tab w:pos="703" w:val="left" w:leader="none"/>
          <w:tab w:pos="705" w:val="left" w:leader="none"/>
        </w:tabs>
        <w:spacing w:line="249" w:lineRule="auto" w:before="3" w:after="0"/>
        <w:ind w:left="705" w:right="1367" w:hanging="321"/>
        <w:jc w:val="both"/>
        <w:rPr>
          <w:sz w:val="24"/>
        </w:rPr>
      </w:pPr>
      <w:r>
        <w:rPr>
          <w:b/>
          <w:sz w:val="24"/>
        </w:rPr>
        <w:t>Right to Terminate Lease Early </w:t>
      </w:r>
      <w:r>
        <w:rPr>
          <w:sz w:val="24"/>
        </w:rPr>
        <w:t>– The lease agreement must outline situations</w:t>
      </w:r>
      <w:r>
        <w:rPr>
          <w:spacing w:val="-4"/>
          <w:sz w:val="24"/>
        </w:rPr>
        <w:t> </w:t>
      </w:r>
      <w:r>
        <w:rPr>
          <w:sz w:val="24"/>
        </w:rPr>
        <w:t>where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tenant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legally</w:t>
      </w:r>
      <w:r>
        <w:rPr>
          <w:spacing w:val="-4"/>
          <w:sz w:val="24"/>
        </w:rPr>
        <w:t> </w:t>
      </w:r>
      <w:r>
        <w:rPr>
          <w:sz w:val="24"/>
        </w:rPr>
        <w:t>break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lease,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cases of domestic violence or military deployment/transfer.</w:t>
      </w:r>
    </w:p>
    <w:p>
      <w:pPr>
        <w:pStyle w:val="ListParagraph"/>
        <w:numPr>
          <w:ilvl w:val="0"/>
          <w:numId w:val="15"/>
        </w:numPr>
        <w:tabs>
          <w:tab w:pos="703" w:val="left" w:leader="none"/>
          <w:tab w:pos="705" w:val="left" w:leader="none"/>
        </w:tabs>
        <w:spacing w:line="249" w:lineRule="auto" w:before="3" w:after="0"/>
        <w:ind w:left="705" w:right="1382" w:hanging="321"/>
        <w:jc w:val="left"/>
        <w:rPr>
          <w:sz w:val="24"/>
        </w:rPr>
      </w:pPr>
      <w:r>
        <w:rPr>
          <w:b/>
          <w:sz w:val="24"/>
        </w:rPr>
        <w:t>Parking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Rules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Texas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Properties</w:t>
      </w:r>
      <w:r>
        <w:rPr>
          <w:b/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Landlords</w:t>
      </w:r>
      <w:r>
        <w:rPr>
          <w:spacing w:val="-5"/>
          <w:sz w:val="24"/>
        </w:rPr>
        <w:t> </w:t>
      </w:r>
      <w:r>
        <w:rPr>
          <w:sz w:val="24"/>
        </w:rPr>
        <w:t>managing</w:t>
      </w:r>
      <w:r>
        <w:rPr>
          <w:spacing w:val="-5"/>
          <w:sz w:val="24"/>
        </w:rPr>
        <w:t> </w:t>
      </w:r>
      <w:r>
        <w:rPr>
          <w:sz w:val="24"/>
        </w:rPr>
        <w:t>multi-unit properties must provide tenants with written details about parking and towing regulations.</w:t>
      </w:r>
    </w:p>
    <w:p>
      <w:pPr>
        <w:pStyle w:val="ListParagraph"/>
        <w:numPr>
          <w:ilvl w:val="0"/>
          <w:numId w:val="15"/>
        </w:numPr>
        <w:tabs>
          <w:tab w:pos="703" w:val="left" w:leader="none"/>
          <w:tab w:pos="705" w:val="left" w:leader="none"/>
        </w:tabs>
        <w:spacing w:line="249" w:lineRule="auto" w:before="3" w:after="0"/>
        <w:ind w:left="705" w:right="1556" w:hanging="321"/>
        <w:jc w:val="left"/>
        <w:rPr>
          <w:sz w:val="24"/>
        </w:rPr>
      </w:pPr>
      <w:r>
        <w:rPr>
          <w:b/>
          <w:sz w:val="24"/>
        </w:rPr>
        <w:t>Tenant’s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Rights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Repairs</w:t>
      </w:r>
      <w:r>
        <w:rPr>
          <w:b/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lease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inform</w:t>
      </w:r>
      <w:r>
        <w:rPr>
          <w:spacing w:val="-4"/>
          <w:sz w:val="24"/>
        </w:rPr>
        <w:t> </w:t>
      </w:r>
      <w:r>
        <w:rPr>
          <w:sz w:val="24"/>
        </w:rPr>
        <w:t>tenants</w:t>
      </w:r>
      <w:r>
        <w:rPr>
          <w:spacing w:val="-4"/>
          <w:sz w:val="24"/>
        </w:rPr>
        <w:t> </w:t>
      </w:r>
      <w:r>
        <w:rPr>
          <w:sz w:val="24"/>
        </w:rPr>
        <w:t>about their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making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necessary</w:t>
      </w:r>
      <w:r>
        <w:rPr>
          <w:spacing w:val="-2"/>
          <w:sz w:val="24"/>
        </w:rPr>
        <w:t> </w:t>
      </w:r>
      <w:r>
        <w:rPr>
          <w:sz w:val="24"/>
        </w:rPr>
        <w:t>repairs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property.</w:t>
      </w:r>
    </w:p>
    <w:sectPr>
      <w:footerReference w:type="default" r:id="rId6"/>
      <w:pgSz w:w="12240" w:h="15840"/>
      <w:pgMar w:header="0" w:footer="0" w:top="12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5049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99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705" w:hanging="32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6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8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4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2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3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Texas, Residential, Lease, PDF, Template, Disclosure, Forms</cp:keywords>
  <dc:subject>TEXAS RESIDENTIAL LEASE AGREEMENT AND DISCLOSURE FORMS</dc:subject>
  <dc:title>TEXAS RESIDENTIAL LEASE AGREEMENT AND DISCLOSURE FORMS</dc:title>
  <dcterms:created xsi:type="dcterms:W3CDTF">2025-02-26T14:05:04Z</dcterms:created>
  <dcterms:modified xsi:type="dcterms:W3CDTF">2025-02-26T14:05:04Z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Services</vt:lpwstr>
  </property>
</Properties>
</file>