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59E60DC0" w:rsidR="005E799D" w:rsidRDefault="004C2F6B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KANSAS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This Commercial Lease Agreement ("Lease") is made and effective on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>, 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13. Governing Law:</w:t>
      </w:r>
      <w:r w:rsidRPr="005E799D">
        <w:rPr>
          <w:rFonts w:ascii="Arial" w:hAnsi="Arial" w:cs="Arial"/>
        </w:rPr>
        <w:t xml:space="preserve"> This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58E0" w14:textId="77777777" w:rsidR="00856388" w:rsidRDefault="00856388" w:rsidP="00CA19E3">
      <w:pPr>
        <w:spacing w:after="0" w:line="240" w:lineRule="auto"/>
      </w:pPr>
      <w:r>
        <w:separator/>
      </w:r>
    </w:p>
  </w:endnote>
  <w:endnote w:type="continuationSeparator" w:id="0">
    <w:p w14:paraId="746466FB" w14:textId="77777777" w:rsidR="00856388" w:rsidRDefault="00856388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43CF" w14:textId="77777777" w:rsidR="00856388" w:rsidRDefault="00856388" w:rsidP="00CA19E3">
      <w:pPr>
        <w:spacing w:after="0" w:line="240" w:lineRule="auto"/>
      </w:pPr>
      <w:r>
        <w:separator/>
      </w:r>
    </w:p>
  </w:footnote>
  <w:footnote w:type="continuationSeparator" w:id="0">
    <w:p w14:paraId="4153ED1F" w14:textId="77777777" w:rsidR="00856388" w:rsidRDefault="00856388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49695A"/>
    <w:rsid w:val="004C2F6B"/>
    <w:rsid w:val="005E799D"/>
    <w:rsid w:val="00856388"/>
    <w:rsid w:val="009C18A1"/>
    <w:rsid w:val="00A0379D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3375</Characters>
  <Application>Microsoft Office Word</Application>
  <DocSecurity>0</DocSecurity>
  <Lines>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LEASE AGREEMENT</vt:lpstr>
    </vt:vector>
  </TitlesOfParts>
  <Manager/>
  <Company>KANSAS COMMERCIAL LEASE AGREEMENT</Company>
  <LinksUpToDate>false</LinksUpToDate>
  <CharactersWithSpaces>3933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COMMERCIAL LEASE AGREEMENT</dc:title>
  <dc:subject>KANSAS COMMERCIAL LEASE AGREEMENT</dc:subject>
  <dc:creator>Simple Forms</dc:creator>
  <cp:keywords>commercial, lease, agreement</cp:keywords>
  <dc:description>KANSAS COMMERCIAL LEASE AGREEMENT</dc:description>
  <cp:lastModifiedBy>Caroline Brin</cp:lastModifiedBy>
  <cp:revision>2</cp:revision>
  <dcterms:created xsi:type="dcterms:W3CDTF">2025-01-21T15:07:00Z</dcterms:created>
  <dcterms:modified xsi:type="dcterms:W3CDTF">2025-01-21T15:07:00Z</dcterms:modified>
  <cp:category>KANSAS COMMERCIAL LEASE AGREEMENT</cp:category>
</cp:coreProperties>
</file>