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1"/>
        <w:ind w:left="403" w:right="0" w:firstLine="0"/>
        <w:jc w:val="left"/>
        <w:rPr>
          <w:b/>
          <w:sz w:val="32"/>
        </w:rPr>
      </w:pPr>
      <w:r>
        <w:rPr>
          <w:b/>
          <w:sz w:val="32"/>
        </w:rPr>
        <w:t>GEORGIA</w:t>
      </w:r>
      <w:r>
        <w:rPr>
          <w:b/>
          <w:spacing w:val="-21"/>
          <w:sz w:val="32"/>
        </w:rPr>
        <w:t> </w:t>
      </w:r>
      <w:r>
        <w:rPr>
          <w:b/>
          <w:sz w:val="32"/>
        </w:rPr>
        <w:t>STANDARD</w:t>
      </w:r>
      <w:r>
        <w:rPr>
          <w:b/>
          <w:spacing w:val="-19"/>
          <w:sz w:val="32"/>
        </w:rPr>
        <w:t> </w:t>
      </w:r>
      <w:r>
        <w:rPr>
          <w:b/>
          <w:sz w:val="32"/>
        </w:rPr>
        <w:t>RESIDENTIAL</w:t>
      </w:r>
      <w:r>
        <w:rPr>
          <w:b/>
          <w:spacing w:val="-5"/>
          <w:sz w:val="32"/>
        </w:rPr>
        <w:t> </w:t>
      </w:r>
      <w:r>
        <w:rPr>
          <w:b/>
          <w:sz w:val="32"/>
        </w:rPr>
        <w:t>LEASE</w:t>
      </w:r>
      <w:r>
        <w:rPr>
          <w:b/>
          <w:spacing w:val="-10"/>
          <w:sz w:val="32"/>
        </w:rPr>
        <w:t> </w:t>
      </w:r>
      <w:r>
        <w:rPr>
          <w:b/>
          <w:spacing w:val="-2"/>
          <w:sz w:val="32"/>
        </w:rPr>
        <w:t>AGREEMENT</w:t>
      </w:r>
    </w:p>
    <w:p>
      <w:pPr>
        <w:pStyle w:val="Heading1"/>
        <w:numPr>
          <w:ilvl w:val="0"/>
          <w:numId w:val="1"/>
        </w:numPr>
        <w:tabs>
          <w:tab w:pos="813" w:val="left" w:leader="none"/>
        </w:tabs>
        <w:spacing w:line="240" w:lineRule="auto" w:before="363"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spacing w:before="276"/>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8"/>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9"/>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8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6928">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59552"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7440">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59040"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itle>Georgia Standard Residential Lease Agreement Template</dc:title>
  <dcterms:created xsi:type="dcterms:W3CDTF">2025-01-09T18:24:21Z</dcterms:created>
  <dcterms:modified xsi:type="dcterms:W3CDTF">2025-01-09T18:24:21Z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Adobe PDF Services</vt:lpwstr>
  </property>
</Properties>
</file>