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1F0F" w14:textId="447983BF" w:rsidR="00334B6E" w:rsidRPr="00B16B1C" w:rsidRDefault="001A5A8C" w:rsidP="00C717F9">
      <w:pPr>
        <w:jc w:val="center"/>
        <w:rPr>
          <w:rFonts w:ascii="Arial" w:hAnsi="Arial" w:cs="Arial"/>
          <w:b/>
          <w:bCs/>
          <w:sz w:val="32"/>
          <w:szCs w:val="32"/>
        </w:rPr>
      </w:pPr>
      <w:r>
        <w:rPr>
          <w:rFonts w:ascii="Arial" w:hAnsi="Arial" w:cs="Arial"/>
          <w:b/>
          <w:bCs/>
          <w:sz w:val="32"/>
          <w:szCs w:val="32"/>
        </w:rPr>
        <w:t xml:space="preserve">ALABAMA </w:t>
      </w:r>
      <w:r w:rsidR="00875067">
        <w:rPr>
          <w:rFonts w:ascii="Arial" w:hAnsi="Arial" w:cs="Arial"/>
          <w:b/>
          <w:bCs/>
          <w:sz w:val="32"/>
          <w:szCs w:val="32"/>
        </w:rPr>
        <w:t xml:space="preserve">MONTH-TO-MONTH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39CB8A4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r w:rsidR="00B55B8D">
        <w:rPr>
          <w:rFonts w:ascii="Arial" w:hAnsi="Arial" w:cs="Arial"/>
        </w:rPr>
        <w:t xml:space="preserve"> the Landlord and Tenant</w:t>
      </w:r>
      <w:r w:rsidRPr="00B16B1C">
        <w:rPr>
          <w:rFonts w:ascii="Arial" w:hAnsi="Arial" w:cs="Arial"/>
        </w:rPr>
        <w:t>:</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0D8632D8"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00B55B8D">
            <w:rPr>
              <w:rFonts w:ascii="MS Gothic" w:eastAsia="MS Gothic" w:hAnsi="MS Gothic" w:cs="Arial" w:hint="eastAsia"/>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059D3DDF" w14:textId="7B920113" w:rsidR="00875067" w:rsidRPr="007B7A0D" w:rsidRDefault="00875067" w:rsidP="00875067">
      <w:pPr>
        <w:pStyle w:val="ListParagraph"/>
        <w:numPr>
          <w:ilvl w:val="0"/>
          <w:numId w:val="21"/>
        </w:numPr>
        <w:rPr>
          <w:rFonts w:ascii="Arial" w:hAnsi="Arial" w:cs="Arial"/>
        </w:rPr>
      </w:pPr>
      <w:r>
        <w:rPr>
          <w:rFonts w:ascii="Arial" w:hAnsi="Arial" w:cs="Arial"/>
          <w:u w:val="single"/>
        </w:rPr>
        <w:t>Termination Period</w:t>
      </w:r>
      <w:r w:rsidRPr="007B7A0D">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Pr>
          <w:rFonts w:ascii="Arial" w:hAnsi="Arial" w:cs="Arial"/>
        </w:rPr>
        <w:t xml:space="preserve"> Days</w:t>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proofErr w:type="spellStart"/>
      <w:r w:rsidR="0051503F" w:rsidRPr="00B16B1C">
        <w:rPr>
          <w:rFonts w:ascii="Arial" w:hAnsi="Arial" w:cs="Arial"/>
        </w:rPr>
        <w:t>Zelle</w:t>
      </w:r>
      <w:proofErr w:type="spellEnd"/>
      <w:r w:rsidR="0051503F" w:rsidRPr="00B16B1C">
        <w:rPr>
          <w:rFonts w:ascii="Arial" w:hAnsi="Arial" w:cs="Arial"/>
        </w:rPr>
        <w:t xml:space="preserv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236736E4"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671DF9">
            <w:rPr>
              <w:rFonts w:ascii="MS Gothic" w:eastAsia="MS Gothic" w:hAnsi="MS Gothic" w:cs="Arial" w:hint="eastAsia"/>
            </w:rPr>
            <w:t>☐</w:t>
          </w:r>
        </w:sdtContent>
      </w:sdt>
      <w:r w:rsidR="00334B6E" w:rsidRPr="00B16B1C">
        <w:rPr>
          <w:rFonts w:ascii="Arial" w:hAnsi="Arial" w:cs="Arial"/>
        </w:rPr>
        <w:t xml:space="preserve"> - Protect Your Family </w:t>
      </w:r>
      <w:r w:rsidR="00B55B8D" w:rsidRPr="00B16B1C">
        <w:rPr>
          <w:rFonts w:ascii="Arial" w:hAnsi="Arial" w:cs="Arial"/>
        </w:rPr>
        <w:t>from</w:t>
      </w:r>
      <w:r w:rsidR="00334B6E" w:rsidRPr="00B16B1C">
        <w:rPr>
          <w:rFonts w:ascii="Arial" w:hAnsi="Arial" w:cs="Arial"/>
        </w:rPr>
        <w:t xml:space="preserve"> Lead in Your Home </w:t>
      </w:r>
      <w:r w:rsidR="00B55B8D">
        <w:rPr>
          <w:rFonts w:ascii="Arial" w:hAnsi="Arial" w:cs="Arial"/>
        </w:rPr>
        <w:t xml:space="preserve">and EPA </w:t>
      </w:r>
      <w:r w:rsidR="00334B6E" w:rsidRPr="00B16B1C">
        <w:rPr>
          <w:rFonts w:ascii="Arial" w:hAnsi="Arial" w:cs="Arial"/>
        </w:rPr>
        <w:t>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532189EF" w14:textId="77777777" w:rsidR="00F45DF5" w:rsidRPr="00B16B1C" w:rsidRDefault="00F45DF5" w:rsidP="00F45DF5">
      <w:pPr>
        <w:rPr>
          <w:rFonts w:ascii="Arial" w:hAnsi="Arial" w:cs="Arial"/>
        </w:rPr>
      </w:pPr>
    </w:p>
    <w:p w14:paraId="58298F8E" w14:textId="7BD4452C" w:rsidR="007C3BE0" w:rsidRPr="00F45DF5" w:rsidRDefault="00F45DF5" w:rsidP="00F45DF5">
      <w:pPr>
        <w:pStyle w:val="ListParagraph"/>
        <w:numPr>
          <w:ilvl w:val="0"/>
          <w:numId w:val="1"/>
        </w:numPr>
        <w:rPr>
          <w:rFonts w:ascii="Arial" w:hAnsi="Arial" w:cs="Arial"/>
          <w:b/>
          <w:bCs/>
        </w:rPr>
      </w:pPr>
      <w:r w:rsidRPr="00F45DF5">
        <w:rPr>
          <w:rFonts w:ascii="Arial" w:hAnsi="Arial" w:cs="Arial"/>
          <w:b/>
          <w:bCs/>
        </w:rPr>
        <w:t>DEFINITIONS.</w:t>
      </w:r>
    </w:p>
    <w:p w14:paraId="6C498F13" w14:textId="77777777" w:rsidR="00F45DF5" w:rsidRPr="00F45DF5" w:rsidRDefault="00F45DF5" w:rsidP="00F45DF5">
      <w:pPr>
        <w:rPr>
          <w:rFonts w:ascii="Arial" w:hAnsi="Arial" w:cs="Arial"/>
          <w:b/>
          <w:bCs/>
        </w:rPr>
      </w:pPr>
    </w:p>
    <w:p w14:paraId="5D02CE0D" w14:textId="77777777" w:rsidR="00F45DF5" w:rsidRPr="00671DF9" w:rsidRDefault="00F45DF5" w:rsidP="00671DF9">
      <w:pPr>
        <w:pStyle w:val="ListParagraph"/>
        <w:numPr>
          <w:ilvl w:val="0"/>
          <w:numId w:val="24"/>
        </w:numPr>
        <w:rPr>
          <w:rFonts w:ascii="Arial" w:hAnsi="Arial" w:cs="Arial"/>
        </w:rPr>
      </w:pPr>
      <w:r w:rsidRPr="00D80EF9">
        <w:rPr>
          <w:rFonts w:ascii="Arial" w:hAnsi="Arial" w:cs="Arial"/>
          <w:u w:val="single"/>
        </w:rPr>
        <w:t>Abandonment</w:t>
      </w:r>
      <w:r w:rsidRPr="00671DF9">
        <w:rPr>
          <w:rFonts w:ascii="Arial" w:hAnsi="Arial" w:cs="Arial"/>
        </w:rPr>
        <w:t>: If the Tenant leaves the Property for over seven days without notifying the Landlord, they are in default. The Landlord may inspect the Property with 24 hours' notice if they believe it is abandoned.</w:t>
      </w:r>
    </w:p>
    <w:p w14:paraId="640B8A97" w14:textId="77777777" w:rsidR="00671DF9" w:rsidRDefault="00F45DF5" w:rsidP="00F45DF5">
      <w:pPr>
        <w:pStyle w:val="ListParagraph"/>
        <w:numPr>
          <w:ilvl w:val="0"/>
          <w:numId w:val="24"/>
        </w:numPr>
        <w:rPr>
          <w:rFonts w:ascii="Arial" w:hAnsi="Arial" w:cs="Arial"/>
        </w:rPr>
      </w:pPr>
      <w:r w:rsidRPr="00D80EF9">
        <w:rPr>
          <w:rFonts w:ascii="Arial" w:hAnsi="Arial" w:cs="Arial"/>
          <w:u w:val="single"/>
        </w:rPr>
        <w:t>Access</w:t>
      </w:r>
      <w:r w:rsidRPr="00671DF9">
        <w:rPr>
          <w:rFonts w:ascii="Arial" w:hAnsi="Arial" w:cs="Arial"/>
        </w:rPr>
        <w:t>: The Landlord will provide the Tenant access (keys, fobs, etc.) upon lease start or early move-in, after required payments.</w:t>
      </w:r>
    </w:p>
    <w:p w14:paraId="44D0E763" w14:textId="77777777" w:rsidR="00671DF9" w:rsidRDefault="00F45DF5" w:rsidP="00F45DF5">
      <w:pPr>
        <w:pStyle w:val="ListParagraph"/>
        <w:numPr>
          <w:ilvl w:val="0"/>
          <w:numId w:val="24"/>
        </w:numPr>
        <w:rPr>
          <w:rFonts w:ascii="Arial" w:hAnsi="Arial" w:cs="Arial"/>
        </w:rPr>
      </w:pPr>
      <w:r w:rsidRPr="00D80EF9">
        <w:rPr>
          <w:rFonts w:ascii="Arial" w:hAnsi="Arial" w:cs="Arial"/>
          <w:u w:val="single"/>
        </w:rPr>
        <w:t>Additional Occupants</w:t>
      </w:r>
      <w:r w:rsidRPr="00671DF9">
        <w:rPr>
          <w:rFonts w:ascii="Arial" w:hAnsi="Arial" w:cs="Arial"/>
        </w:rPr>
        <w:t>: Individuals allowed to live with the Tenant. The Tenant is responsible for their actions.</w:t>
      </w:r>
    </w:p>
    <w:p w14:paraId="366D7D3E" w14:textId="77777777" w:rsidR="00671DF9" w:rsidRDefault="00F45DF5" w:rsidP="00F45DF5">
      <w:pPr>
        <w:pStyle w:val="ListParagraph"/>
        <w:numPr>
          <w:ilvl w:val="0"/>
          <w:numId w:val="24"/>
        </w:numPr>
        <w:rPr>
          <w:rFonts w:ascii="Arial" w:hAnsi="Arial" w:cs="Arial"/>
        </w:rPr>
      </w:pPr>
      <w:r w:rsidRPr="00D80EF9">
        <w:rPr>
          <w:rFonts w:ascii="Arial" w:hAnsi="Arial" w:cs="Arial"/>
          <w:u w:val="single"/>
        </w:rPr>
        <w:t>Disclosures</w:t>
      </w:r>
      <w:r w:rsidRPr="00671DF9">
        <w:rPr>
          <w:rFonts w:ascii="Arial" w:hAnsi="Arial" w:cs="Arial"/>
        </w:rPr>
        <w:t>: Information provided to the Tenant in Section 22 is acknowledged as understood upon signing.</w:t>
      </w:r>
    </w:p>
    <w:p w14:paraId="10EF5852" w14:textId="77777777" w:rsidR="00671DF9" w:rsidRDefault="00F45DF5" w:rsidP="00F45DF5">
      <w:pPr>
        <w:pStyle w:val="ListParagraph"/>
        <w:numPr>
          <w:ilvl w:val="0"/>
          <w:numId w:val="24"/>
        </w:numPr>
        <w:rPr>
          <w:rFonts w:ascii="Arial" w:hAnsi="Arial" w:cs="Arial"/>
        </w:rPr>
      </w:pPr>
      <w:r w:rsidRPr="00D80EF9">
        <w:rPr>
          <w:rFonts w:ascii="Arial" w:hAnsi="Arial" w:cs="Arial"/>
          <w:u w:val="single"/>
        </w:rPr>
        <w:t>Early Move-In</w:t>
      </w:r>
      <w:r w:rsidRPr="00671DF9">
        <w:rPr>
          <w:rFonts w:ascii="Arial" w:hAnsi="Arial" w:cs="Arial"/>
        </w:rPr>
        <w:t>: Allowed if noted in Section 8, with pro-rated rent due at signing. Tenant rights are the same as during the lease term.</w:t>
      </w:r>
    </w:p>
    <w:p w14:paraId="4828A2D9" w14:textId="77777777" w:rsidR="00671DF9" w:rsidRDefault="00F45DF5" w:rsidP="00F45DF5">
      <w:pPr>
        <w:pStyle w:val="ListParagraph"/>
        <w:numPr>
          <w:ilvl w:val="0"/>
          <w:numId w:val="24"/>
        </w:numPr>
        <w:rPr>
          <w:rFonts w:ascii="Arial" w:hAnsi="Arial" w:cs="Arial"/>
        </w:rPr>
      </w:pPr>
      <w:r w:rsidRPr="00D80EF9">
        <w:rPr>
          <w:rFonts w:ascii="Arial" w:hAnsi="Arial" w:cs="Arial"/>
          <w:u w:val="single"/>
        </w:rPr>
        <w:t>Furnishings and Appliances</w:t>
      </w:r>
      <w:r w:rsidRPr="00671DF9">
        <w:rPr>
          <w:rFonts w:ascii="Arial" w:hAnsi="Arial" w:cs="Arial"/>
        </w:rPr>
        <w:t>: Landlord-owned items that must be returned in original condition, normal wear excluded.</w:t>
      </w:r>
    </w:p>
    <w:p w14:paraId="29779A12" w14:textId="77777777" w:rsidR="00671DF9" w:rsidRDefault="00F45DF5" w:rsidP="00F45DF5">
      <w:pPr>
        <w:pStyle w:val="ListParagraph"/>
        <w:numPr>
          <w:ilvl w:val="0"/>
          <w:numId w:val="24"/>
        </w:numPr>
        <w:rPr>
          <w:rFonts w:ascii="Arial" w:hAnsi="Arial" w:cs="Arial"/>
        </w:rPr>
      </w:pPr>
      <w:r w:rsidRPr="00D80EF9">
        <w:rPr>
          <w:rFonts w:ascii="Arial" w:hAnsi="Arial" w:cs="Arial"/>
          <w:u w:val="single"/>
        </w:rPr>
        <w:t>Governing Law</w:t>
      </w:r>
      <w:r w:rsidRPr="00671DF9">
        <w:rPr>
          <w:rFonts w:ascii="Arial" w:hAnsi="Arial" w:cs="Arial"/>
        </w:rPr>
        <w:t>: This Agreement is governed by the laws where the Property is located.</w:t>
      </w:r>
    </w:p>
    <w:p w14:paraId="7B000950" w14:textId="77777777" w:rsidR="00671DF9" w:rsidRDefault="00F45DF5" w:rsidP="00F45DF5">
      <w:pPr>
        <w:pStyle w:val="ListParagraph"/>
        <w:numPr>
          <w:ilvl w:val="0"/>
          <w:numId w:val="24"/>
        </w:numPr>
        <w:rPr>
          <w:rFonts w:ascii="Arial" w:hAnsi="Arial" w:cs="Arial"/>
        </w:rPr>
      </w:pPr>
      <w:r w:rsidRPr="00D80EF9">
        <w:rPr>
          <w:rFonts w:ascii="Arial" w:hAnsi="Arial" w:cs="Arial"/>
          <w:u w:val="single"/>
        </w:rPr>
        <w:t>Guests</w:t>
      </w:r>
      <w:r w:rsidRPr="00671DF9">
        <w:rPr>
          <w:rFonts w:ascii="Arial" w:hAnsi="Arial" w:cs="Arial"/>
        </w:rPr>
        <w:t>: Non-residents allowed for up to 48 hours.</w:t>
      </w:r>
    </w:p>
    <w:p w14:paraId="3D47DDA2" w14:textId="77777777" w:rsidR="00671DF9" w:rsidRDefault="00F45DF5" w:rsidP="00F45DF5">
      <w:pPr>
        <w:pStyle w:val="ListParagraph"/>
        <w:numPr>
          <w:ilvl w:val="0"/>
          <w:numId w:val="24"/>
        </w:numPr>
        <w:rPr>
          <w:rFonts w:ascii="Arial" w:hAnsi="Arial" w:cs="Arial"/>
        </w:rPr>
      </w:pPr>
      <w:r w:rsidRPr="00D80EF9">
        <w:rPr>
          <w:rFonts w:ascii="Arial" w:hAnsi="Arial" w:cs="Arial"/>
          <w:u w:val="single"/>
        </w:rPr>
        <w:t>Late Fee</w:t>
      </w:r>
      <w:r w:rsidRPr="00671DF9">
        <w:rPr>
          <w:rFonts w:ascii="Arial" w:hAnsi="Arial" w:cs="Arial"/>
        </w:rPr>
        <w:t>: A penalty for overdue rent, as per Agreement terms and Governing Law.</w:t>
      </w:r>
    </w:p>
    <w:p w14:paraId="0FF0C709" w14:textId="77777777" w:rsidR="00671DF9" w:rsidRDefault="00F45DF5" w:rsidP="00F45DF5">
      <w:pPr>
        <w:pStyle w:val="ListParagraph"/>
        <w:numPr>
          <w:ilvl w:val="0"/>
          <w:numId w:val="24"/>
        </w:numPr>
        <w:rPr>
          <w:rFonts w:ascii="Arial" w:hAnsi="Arial" w:cs="Arial"/>
        </w:rPr>
      </w:pPr>
      <w:r w:rsidRPr="00D80EF9">
        <w:rPr>
          <w:rFonts w:ascii="Arial" w:hAnsi="Arial" w:cs="Arial"/>
          <w:u w:val="single"/>
        </w:rPr>
        <w:t>Move-In Inspection</w:t>
      </w:r>
      <w:r w:rsidRPr="00671DF9">
        <w:rPr>
          <w:rFonts w:ascii="Arial" w:hAnsi="Arial" w:cs="Arial"/>
        </w:rPr>
        <w:t>: A review of Property condition at move-in to protect Tenant's Security Deposit.</w:t>
      </w:r>
    </w:p>
    <w:p w14:paraId="65DC5C51" w14:textId="77777777" w:rsidR="00671DF9" w:rsidRDefault="00F45DF5" w:rsidP="00F45DF5">
      <w:pPr>
        <w:pStyle w:val="ListParagraph"/>
        <w:numPr>
          <w:ilvl w:val="0"/>
          <w:numId w:val="24"/>
        </w:numPr>
        <w:rPr>
          <w:rFonts w:ascii="Arial" w:hAnsi="Arial" w:cs="Arial"/>
        </w:rPr>
      </w:pPr>
      <w:r w:rsidRPr="00D80EF9">
        <w:rPr>
          <w:rFonts w:ascii="Arial" w:hAnsi="Arial" w:cs="Arial"/>
          <w:u w:val="single"/>
        </w:rPr>
        <w:t>Notices</w:t>
      </w:r>
      <w:r w:rsidRPr="00671DF9">
        <w:rPr>
          <w:rFonts w:ascii="Arial" w:hAnsi="Arial" w:cs="Arial"/>
        </w:rPr>
        <w:t>: The address for legal communication, stated in Section 20.</w:t>
      </w:r>
    </w:p>
    <w:p w14:paraId="5BCA5896" w14:textId="77777777" w:rsidR="00671DF9" w:rsidRDefault="00F45DF5" w:rsidP="00F45DF5">
      <w:pPr>
        <w:pStyle w:val="ListParagraph"/>
        <w:numPr>
          <w:ilvl w:val="0"/>
          <w:numId w:val="24"/>
        </w:numPr>
        <w:rPr>
          <w:rFonts w:ascii="Arial" w:hAnsi="Arial" w:cs="Arial"/>
        </w:rPr>
      </w:pPr>
      <w:r w:rsidRPr="00D80EF9">
        <w:rPr>
          <w:rFonts w:ascii="Arial" w:hAnsi="Arial" w:cs="Arial"/>
          <w:u w:val="single"/>
        </w:rPr>
        <w:t>NSF Fee</w:t>
      </w:r>
      <w:r w:rsidRPr="00671DF9">
        <w:rPr>
          <w:rFonts w:ascii="Arial" w:hAnsi="Arial" w:cs="Arial"/>
        </w:rPr>
        <w:t>: Fee for insufficient funds, limited by Governing Law.</w:t>
      </w:r>
    </w:p>
    <w:p w14:paraId="02227D05" w14:textId="77777777" w:rsidR="00671DF9" w:rsidRDefault="00F45DF5" w:rsidP="00F45DF5">
      <w:pPr>
        <w:pStyle w:val="ListParagraph"/>
        <w:numPr>
          <w:ilvl w:val="0"/>
          <w:numId w:val="24"/>
        </w:numPr>
        <w:rPr>
          <w:rFonts w:ascii="Arial" w:hAnsi="Arial" w:cs="Arial"/>
        </w:rPr>
      </w:pPr>
      <w:r w:rsidRPr="00D80EF9">
        <w:rPr>
          <w:rFonts w:ascii="Arial" w:hAnsi="Arial" w:cs="Arial"/>
          <w:u w:val="single"/>
        </w:rPr>
        <w:t>Parking</w:t>
      </w:r>
      <w:r w:rsidRPr="00671DF9">
        <w:rPr>
          <w:rFonts w:ascii="Arial" w:hAnsi="Arial" w:cs="Arial"/>
        </w:rPr>
        <w:t>: Tenant uses parking at their own risk; Landlord is not liable for damage or loss.</w:t>
      </w:r>
    </w:p>
    <w:p w14:paraId="72C211B5" w14:textId="77777777" w:rsidR="00671DF9" w:rsidRDefault="00F45DF5" w:rsidP="00F45DF5">
      <w:pPr>
        <w:pStyle w:val="ListParagraph"/>
        <w:numPr>
          <w:ilvl w:val="0"/>
          <w:numId w:val="24"/>
        </w:numPr>
        <w:rPr>
          <w:rFonts w:ascii="Arial" w:hAnsi="Arial" w:cs="Arial"/>
        </w:rPr>
      </w:pPr>
      <w:r w:rsidRPr="00D80EF9">
        <w:rPr>
          <w:rFonts w:ascii="Arial" w:hAnsi="Arial" w:cs="Arial"/>
          <w:u w:val="single"/>
        </w:rPr>
        <w:t>Pets</w:t>
      </w:r>
      <w:r w:rsidRPr="00671DF9">
        <w:rPr>
          <w:rFonts w:ascii="Arial" w:hAnsi="Arial" w:cs="Arial"/>
        </w:rPr>
        <w:t>: Costs for pet-related damages may be deducted from the Pet Fee or Security Deposit. Service animals are allowed with documentation.</w:t>
      </w:r>
    </w:p>
    <w:p w14:paraId="06F6EBA0" w14:textId="77777777" w:rsidR="00671DF9" w:rsidRDefault="00F45DF5" w:rsidP="00F45DF5">
      <w:pPr>
        <w:pStyle w:val="ListParagraph"/>
        <w:numPr>
          <w:ilvl w:val="0"/>
          <w:numId w:val="24"/>
        </w:numPr>
        <w:rPr>
          <w:rFonts w:ascii="Arial" w:hAnsi="Arial" w:cs="Arial"/>
        </w:rPr>
      </w:pPr>
      <w:r w:rsidRPr="00D80EF9">
        <w:rPr>
          <w:rFonts w:ascii="Arial" w:hAnsi="Arial" w:cs="Arial"/>
          <w:u w:val="single"/>
        </w:rPr>
        <w:t>Pre-Payment of Rent</w:t>
      </w:r>
      <w:r w:rsidRPr="00671DF9">
        <w:rPr>
          <w:rFonts w:ascii="Arial" w:hAnsi="Arial" w:cs="Arial"/>
        </w:rPr>
        <w:t>: Non-refundable and applied to specified dates only.</w:t>
      </w:r>
    </w:p>
    <w:p w14:paraId="0D700A21" w14:textId="77777777" w:rsidR="00671DF9" w:rsidRDefault="00F45DF5" w:rsidP="00F45DF5">
      <w:pPr>
        <w:pStyle w:val="ListParagraph"/>
        <w:numPr>
          <w:ilvl w:val="0"/>
          <w:numId w:val="24"/>
        </w:numPr>
        <w:rPr>
          <w:rFonts w:ascii="Arial" w:hAnsi="Arial" w:cs="Arial"/>
        </w:rPr>
      </w:pPr>
      <w:r w:rsidRPr="00D80EF9">
        <w:rPr>
          <w:rFonts w:ascii="Arial" w:hAnsi="Arial" w:cs="Arial"/>
          <w:u w:val="single"/>
        </w:rPr>
        <w:t>Parties</w:t>
      </w:r>
      <w:r w:rsidRPr="00671DF9">
        <w:rPr>
          <w:rFonts w:ascii="Arial" w:hAnsi="Arial" w:cs="Arial"/>
        </w:rPr>
        <w:t>: Refers to the Landlord and Tenant.</w:t>
      </w:r>
    </w:p>
    <w:p w14:paraId="125636C1" w14:textId="77777777" w:rsidR="00671DF9" w:rsidRDefault="00F45DF5" w:rsidP="00F45DF5">
      <w:pPr>
        <w:pStyle w:val="ListParagraph"/>
        <w:numPr>
          <w:ilvl w:val="0"/>
          <w:numId w:val="24"/>
        </w:numPr>
        <w:rPr>
          <w:rFonts w:ascii="Arial" w:hAnsi="Arial" w:cs="Arial"/>
        </w:rPr>
      </w:pPr>
      <w:r w:rsidRPr="00D80EF9">
        <w:rPr>
          <w:rFonts w:ascii="Arial" w:hAnsi="Arial" w:cs="Arial"/>
          <w:u w:val="single"/>
        </w:rPr>
        <w:t>Property</w:t>
      </w:r>
      <w:r w:rsidRPr="00671DF9">
        <w:rPr>
          <w:rFonts w:ascii="Arial" w:hAnsi="Arial" w:cs="Arial"/>
        </w:rPr>
        <w:t>: The leased residential space as described in Section 2.</w:t>
      </w:r>
    </w:p>
    <w:p w14:paraId="43FEA00C" w14:textId="77777777" w:rsidR="00987BD2" w:rsidRDefault="00F45DF5" w:rsidP="00F45DF5">
      <w:pPr>
        <w:pStyle w:val="ListParagraph"/>
        <w:numPr>
          <w:ilvl w:val="0"/>
          <w:numId w:val="24"/>
        </w:numPr>
        <w:rPr>
          <w:rFonts w:ascii="Arial" w:hAnsi="Arial" w:cs="Arial"/>
        </w:rPr>
      </w:pPr>
      <w:r w:rsidRPr="00D80EF9">
        <w:rPr>
          <w:rFonts w:ascii="Arial" w:hAnsi="Arial" w:cs="Arial"/>
          <w:u w:val="single"/>
        </w:rPr>
        <w:t>Rent</w:t>
      </w:r>
      <w:r w:rsidRPr="00671DF9">
        <w:rPr>
          <w:rFonts w:ascii="Arial" w:hAnsi="Arial" w:cs="Arial"/>
        </w:rPr>
        <w:t>: Initial rent is due at signing; subsequent payments follow Section 4 instructions.</w:t>
      </w:r>
    </w:p>
    <w:p w14:paraId="5A64DC94" w14:textId="77777777" w:rsidR="00987BD2" w:rsidRDefault="00F45DF5" w:rsidP="00F45DF5">
      <w:pPr>
        <w:pStyle w:val="ListParagraph"/>
        <w:numPr>
          <w:ilvl w:val="0"/>
          <w:numId w:val="24"/>
        </w:numPr>
        <w:rPr>
          <w:rFonts w:ascii="Arial" w:hAnsi="Arial" w:cs="Arial"/>
        </w:rPr>
      </w:pPr>
      <w:r w:rsidRPr="00484DE8">
        <w:rPr>
          <w:rFonts w:ascii="Arial" w:hAnsi="Arial" w:cs="Arial"/>
          <w:u w:val="single"/>
        </w:rPr>
        <w:lastRenderedPageBreak/>
        <w:t>Renters Insurance</w:t>
      </w:r>
      <w:r w:rsidRPr="00987BD2">
        <w:rPr>
          <w:rFonts w:ascii="Arial" w:hAnsi="Arial" w:cs="Arial"/>
        </w:rPr>
        <w:t>: Recommended for Tenant to cover personal property and liability; if required, proof must be provided.</w:t>
      </w:r>
    </w:p>
    <w:p w14:paraId="4759BCCE" w14:textId="77777777" w:rsidR="00987BD2" w:rsidRDefault="00F45DF5" w:rsidP="00F45DF5">
      <w:pPr>
        <w:pStyle w:val="ListParagraph"/>
        <w:numPr>
          <w:ilvl w:val="0"/>
          <w:numId w:val="24"/>
        </w:numPr>
        <w:rPr>
          <w:rFonts w:ascii="Arial" w:hAnsi="Arial" w:cs="Arial"/>
        </w:rPr>
      </w:pPr>
      <w:r w:rsidRPr="00484DE8">
        <w:rPr>
          <w:rFonts w:ascii="Arial" w:hAnsi="Arial" w:cs="Arial"/>
          <w:u w:val="single"/>
        </w:rPr>
        <w:t>Security Deposit</w:t>
      </w:r>
      <w:r w:rsidRPr="00987BD2">
        <w:rPr>
          <w:rFonts w:ascii="Arial" w:hAnsi="Arial" w:cs="Arial"/>
        </w:rPr>
        <w:t>: Paid at signing, refundable per the terms or Governing Law.</w:t>
      </w:r>
    </w:p>
    <w:p w14:paraId="132F7EDD" w14:textId="77777777" w:rsidR="00987BD2" w:rsidRDefault="00F45DF5" w:rsidP="00F45DF5">
      <w:pPr>
        <w:pStyle w:val="ListParagraph"/>
        <w:numPr>
          <w:ilvl w:val="0"/>
          <w:numId w:val="24"/>
        </w:numPr>
        <w:rPr>
          <w:rFonts w:ascii="Arial" w:hAnsi="Arial" w:cs="Arial"/>
        </w:rPr>
      </w:pPr>
      <w:r w:rsidRPr="00484DE8">
        <w:rPr>
          <w:rFonts w:ascii="Arial" w:hAnsi="Arial" w:cs="Arial"/>
          <w:u w:val="single"/>
        </w:rPr>
        <w:t>Smoking Policy</w:t>
      </w:r>
      <w:r w:rsidRPr="00987BD2">
        <w:rPr>
          <w:rFonts w:ascii="Arial" w:hAnsi="Arial" w:cs="Arial"/>
        </w:rPr>
        <w:t>: Refers to any inhalation method (smoking, vaping).</w:t>
      </w:r>
    </w:p>
    <w:p w14:paraId="09BCA6CB" w14:textId="77777777" w:rsidR="00987BD2" w:rsidRDefault="00F45DF5" w:rsidP="00F45DF5">
      <w:pPr>
        <w:pStyle w:val="ListParagraph"/>
        <w:numPr>
          <w:ilvl w:val="0"/>
          <w:numId w:val="24"/>
        </w:numPr>
        <w:rPr>
          <w:rFonts w:ascii="Arial" w:hAnsi="Arial" w:cs="Arial"/>
        </w:rPr>
      </w:pPr>
      <w:r w:rsidRPr="00484DE8">
        <w:rPr>
          <w:rFonts w:ascii="Arial" w:hAnsi="Arial" w:cs="Arial"/>
          <w:u w:val="single"/>
        </w:rPr>
        <w:t>Term</w:t>
      </w:r>
      <w:r w:rsidRPr="00987BD2">
        <w:rPr>
          <w:rFonts w:ascii="Arial" w:hAnsi="Arial" w:cs="Arial"/>
        </w:rPr>
        <w:t>: The rental period, with month-to-month termination options as per Governing Law.</w:t>
      </w:r>
    </w:p>
    <w:p w14:paraId="600AEC7A" w14:textId="77777777" w:rsidR="00987BD2" w:rsidRDefault="00F45DF5" w:rsidP="00F45DF5">
      <w:pPr>
        <w:pStyle w:val="ListParagraph"/>
        <w:numPr>
          <w:ilvl w:val="0"/>
          <w:numId w:val="24"/>
        </w:numPr>
        <w:rPr>
          <w:rFonts w:ascii="Arial" w:hAnsi="Arial" w:cs="Arial"/>
        </w:rPr>
      </w:pPr>
      <w:r w:rsidRPr="00484DE8">
        <w:rPr>
          <w:rFonts w:ascii="Arial" w:hAnsi="Arial" w:cs="Arial"/>
          <w:u w:val="single"/>
        </w:rPr>
        <w:t>Utilities &amp; Services</w:t>
      </w:r>
      <w:r w:rsidRPr="00987BD2">
        <w:rPr>
          <w:rFonts w:ascii="Arial" w:hAnsi="Arial" w:cs="Arial"/>
        </w:rPr>
        <w:t>: Tenant covers utilities not specified as the Landlord’s responsibility in Section 16.</w:t>
      </w:r>
    </w:p>
    <w:p w14:paraId="18466678" w14:textId="7F75AA15" w:rsidR="00F45DF5" w:rsidRPr="00987BD2" w:rsidRDefault="00F45DF5" w:rsidP="00F45DF5">
      <w:pPr>
        <w:pStyle w:val="ListParagraph"/>
        <w:numPr>
          <w:ilvl w:val="0"/>
          <w:numId w:val="24"/>
        </w:numPr>
        <w:rPr>
          <w:rFonts w:ascii="Arial" w:hAnsi="Arial" w:cs="Arial"/>
        </w:rPr>
      </w:pPr>
      <w:r w:rsidRPr="00484DE8">
        <w:rPr>
          <w:rFonts w:ascii="Arial" w:hAnsi="Arial" w:cs="Arial"/>
          <w:u w:val="single"/>
        </w:rPr>
        <w:t>Violation</w:t>
      </w:r>
      <w:r w:rsidRPr="00987BD2">
        <w:rPr>
          <w:rFonts w:ascii="Arial" w:hAnsi="Arial" w:cs="Arial"/>
        </w:rPr>
        <w:t>: Tenants jointly liable for all terms if one defaults.</w:t>
      </w:r>
    </w:p>
    <w:p w14:paraId="0EC17E05" w14:textId="77777777" w:rsidR="00671DF9" w:rsidRDefault="00671DF9" w:rsidP="00F45DF5">
      <w:pPr>
        <w:rPr>
          <w:rFonts w:ascii="Arial" w:hAnsi="Arial" w:cs="Arial"/>
        </w:rPr>
      </w:pPr>
    </w:p>
    <w:p w14:paraId="5FD5D964" w14:textId="33205C62" w:rsidR="00F45DF5" w:rsidRPr="00671DF9" w:rsidRDefault="00F45DF5" w:rsidP="00F45DF5">
      <w:pPr>
        <w:rPr>
          <w:rFonts w:ascii="Arial" w:hAnsi="Arial" w:cs="Arial"/>
          <w:b/>
          <w:bCs/>
        </w:rPr>
      </w:pPr>
      <w:r w:rsidRPr="00671DF9">
        <w:rPr>
          <w:rFonts w:ascii="Arial" w:hAnsi="Arial" w:cs="Arial"/>
          <w:b/>
          <w:bCs/>
        </w:rPr>
        <w:t xml:space="preserve">24. </w:t>
      </w:r>
      <w:r w:rsidR="005108A2">
        <w:rPr>
          <w:rFonts w:ascii="Arial" w:hAnsi="Arial" w:cs="Arial"/>
          <w:b/>
          <w:bCs/>
        </w:rPr>
        <w:t>MISCELLANEOUS TERMS.</w:t>
      </w:r>
    </w:p>
    <w:p w14:paraId="2A01BC54" w14:textId="77777777" w:rsidR="00F45DF5" w:rsidRPr="00F45DF5" w:rsidRDefault="00F45DF5" w:rsidP="00F45DF5">
      <w:pPr>
        <w:rPr>
          <w:rFonts w:ascii="Arial" w:hAnsi="Arial" w:cs="Arial"/>
        </w:rPr>
      </w:pPr>
    </w:p>
    <w:p w14:paraId="1FA2A4AE" w14:textId="77777777" w:rsidR="00F45DF5" w:rsidRPr="00322902" w:rsidRDefault="00F45DF5" w:rsidP="00322902">
      <w:pPr>
        <w:pStyle w:val="ListParagraph"/>
        <w:numPr>
          <w:ilvl w:val="0"/>
          <w:numId w:val="25"/>
        </w:numPr>
        <w:rPr>
          <w:rFonts w:ascii="Arial" w:hAnsi="Arial" w:cs="Arial"/>
        </w:rPr>
      </w:pPr>
      <w:r w:rsidRPr="00322902">
        <w:rPr>
          <w:rFonts w:ascii="Arial" w:hAnsi="Arial" w:cs="Arial"/>
          <w:u w:val="single"/>
        </w:rPr>
        <w:t>Active Military</w:t>
      </w:r>
      <w:r w:rsidRPr="00322902">
        <w:rPr>
          <w:rFonts w:ascii="Arial" w:hAnsi="Arial" w:cs="Arial"/>
        </w:rPr>
        <w:t>: Tenants may terminate lease for military reasons (station change or deployment) with notice and proof.</w:t>
      </w:r>
    </w:p>
    <w:p w14:paraId="3D946999" w14:textId="77777777" w:rsidR="00F45DF5" w:rsidRPr="00322902" w:rsidRDefault="00F45DF5" w:rsidP="00322902">
      <w:pPr>
        <w:pStyle w:val="ListParagraph"/>
        <w:numPr>
          <w:ilvl w:val="0"/>
          <w:numId w:val="25"/>
        </w:numPr>
        <w:rPr>
          <w:rFonts w:ascii="Arial" w:hAnsi="Arial" w:cs="Arial"/>
        </w:rPr>
      </w:pPr>
      <w:r w:rsidRPr="00322902">
        <w:rPr>
          <w:rFonts w:ascii="Arial" w:hAnsi="Arial" w:cs="Arial"/>
          <w:u w:val="single"/>
        </w:rPr>
        <w:t>Alterations</w:t>
      </w:r>
      <w:r w:rsidRPr="00322902">
        <w:rPr>
          <w:rFonts w:ascii="Arial" w:hAnsi="Arial" w:cs="Arial"/>
        </w:rPr>
        <w:t>: Tenant needs Landlord’s consent for any Property changes.</w:t>
      </w:r>
    </w:p>
    <w:p w14:paraId="01A3E9E1" w14:textId="77777777" w:rsidR="00F45DF5" w:rsidRPr="00322902" w:rsidRDefault="00F45DF5" w:rsidP="00322902">
      <w:pPr>
        <w:pStyle w:val="ListParagraph"/>
        <w:numPr>
          <w:ilvl w:val="0"/>
          <w:numId w:val="25"/>
        </w:numPr>
        <w:rPr>
          <w:rFonts w:ascii="Arial" w:hAnsi="Arial" w:cs="Arial"/>
        </w:rPr>
      </w:pPr>
      <w:r w:rsidRPr="00322902">
        <w:rPr>
          <w:rFonts w:ascii="Arial" w:hAnsi="Arial" w:cs="Arial"/>
          <w:u w:val="single"/>
        </w:rPr>
        <w:t>Compliance with Laws</w:t>
      </w:r>
      <w:r w:rsidRPr="00322902">
        <w:rPr>
          <w:rFonts w:ascii="Arial" w:hAnsi="Arial" w:cs="Arial"/>
        </w:rPr>
        <w:t>: Tenant must follow all local, state, and federal laws.</w:t>
      </w:r>
    </w:p>
    <w:p w14:paraId="0850014F" w14:textId="77777777" w:rsidR="00F45DF5" w:rsidRPr="00322902" w:rsidRDefault="00F45DF5" w:rsidP="00322902">
      <w:pPr>
        <w:pStyle w:val="ListParagraph"/>
        <w:numPr>
          <w:ilvl w:val="0"/>
          <w:numId w:val="25"/>
        </w:numPr>
        <w:rPr>
          <w:rFonts w:ascii="Arial" w:hAnsi="Arial" w:cs="Arial"/>
        </w:rPr>
      </w:pPr>
      <w:r w:rsidRPr="00322902">
        <w:rPr>
          <w:rFonts w:ascii="Arial" w:hAnsi="Arial" w:cs="Arial"/>
          <w:u w:val="single"/>
        </w:rPr>
        <w:t>Delivery and Possession</w:t>
      </w:r>
      <w:r w:rsidRPr="00322902">
        <w:rPr>
          <w:rFonts w:ascii="Arial" w:hAnsi="Arial" w:cs="Arial"/>
        </w:rPr>
        <w:t>: Landlord guarantees Property is habitable at move-in and must return it in similar condition at lease end.</w:t>
      </w:r>
    </w:p>
    <w:p w14:paraId="004ED965" w14:textId="77777777" w:rsidR="00F45DF5" w:rsidRPr="00322902" w:rsidRDefault="00F45DF5" w:rsidP="00322902">
      <w:pPr>
        <w:pStyle w:val="ListParagraph"/>
        <w:numPr>
          <w:ilvl w:val="0"/>
          <w:numId w:val="25"/>
        </w:numPr>
        <w:rPr>
          <w:rFonts w:ascii="Arial" w:hAnsi="Arial" w:cs="Arial"/>
        </w:rPr>
      </w:pPr>
      <w:r w:rsidRPr="00322902">
        <w:rPr>
          <w:rFonts w:ascii="Arial" w:hAnsi="Arial" w:cs="Arial"/>
          <w:u w:val="single"/>
        </w:rPr>
        <w:t>Dispute Resolution</w:t>
      </w:r>
      <w:r w:rsidRPr="00322902">
        <w:rPr>
          <w:rFonts w:ascii="Arial" w:hAnsi="Arial" w:cs="Arial"/>
        </w:rPr>
        <w:t>: Parties agree to arbitration if disputes cannot be resolved amicably.</w:t>
      </w:r>
    </w:p>
    <w:p w14:paraId="6BF69E51" w14:textId="77777777" w:rsidR="00F45DF5" w:rsidRPr="00322902" w:rsidRDefault="00F45DF5" w:rsidP="00322902">
      <w:pPr>
        <w:pStyle w:val="ListParagraph"/>
        <w:numPr>
          <w:ilvl w:val="0"/>
          <w:numId w:val="25"/>
        </w:numPr>
        <w:rPr>
          <w:rFonts w:ascii="Arial" w:hAnsi="Arial" w:cs="Arial"/>
        </w:rPr>
      </w:pPr>
      <w:r w:rsidRPr="00322902">
        <w:rPr>
          <w:rFonts w:ascii="Arial" w:hAnsi="Arial" w:cs="Arial"/>
          <w:u w:val="single"/>
        </w:rPr>
        <w:t>Equal Housing</w:t>
      </w:r>
      <w:r w:rsidRPr="00322902">
        <w:rPr>
          <w:rFonts w:ascii="Arial" w:hAnsi="Arial" w:cs="Arial"/>
        </w:rPr>
        <w:t>: Landlord will consider reasonable accommodations for disabilities.</w:t>
      </w:r>
    </w:p>
    <w:p w14:paraId="6F246879" w14:textId="77777777" w:rsidR="00F45DF5" w:rsidRPr="00322902" w:rsidRDefault="00F45DF5" w:rsidP="00322902">
      <w:pPr>
        <w:pStyle w:val="ListParagraph"/>
        <w:numPr>
          <w:ilvl w:val="0"/>
          <w:numId w:val="25"/>
        </w:numPr>
        <w:rPr>
          <w:rFonts w:ascii="Arial" w:hAnsi="Arial" w:cs="Arial"/>
        </w:rPr>
      </w:pPr>
      <w:r w:rsidRPr="00322902">
        <w:rPr>
          <w:rFonts w:ascii="Arial" w:hAnsi="Arial" w:cs="Arial"/>
          <w:u w:val="single"/>
        </w:rPr>
        <w:t>Indemnification</w:t>
      </w:r>
      <w:r w:rsidRPr="00322902">
        <w:rPr>
          <w:rFonts w:ascii="Arial" w:hAnsi="Arial" w:cs="Arial"/>
        </w:rPr>
        <w:t>: Tenant indemnifies Landlord against liabilities related to Tenant’s occupancy.</w:t>
      </w:r>
    </w:p>
    <w:p w14:paraId="62C8CEBC" w14:textId="77777777" w:rsidR="00F45DF5" w:rsidRPr="00322902" w:rsidRDefault="00F45DF5" w:rsidP="00322902">
      <w:pPr>
        <w:pStyle w:val="ListParagraph"/>
        <w:numPr>
          <w:ilvl w:val="0"/>
          <w:numId w:val="25"/>
        </w:numPr>
        <w:rPr>
          <w:rFonts w:ascii="Arial" w:hAnsi="Arial" w:cs="Arial"/>
        </w:rPr>
      </w:pPr>
      <w:r w:rsidRPr="00322902">
        <w:rPr>
          <w:rFonts w:ascii="Arial" w:hAnsi="Arial" w:cs="Arial"/>
          <w:u w:val="single"/>
        </w:rPr>
        <w:t>Maintenance</w:t>
      </w:r>
      <w:r w:rsidRPr="00322902">
        <w:rPr>
          <w:rFonts w:ascii="Arial" w:hAnsi="Arial" w:cs="Arial"/>
        </w:rPr>
        <w:t>: Landlord handles general upkeep; Tenant covers damage they cause.</w:t>
      </w:r>
    </w:p>
    <w:p w14:paraId="4CAFE7F9" w14:textId="77777777" w:rsidR="00F45DF5" w:rsidRPr="00322902" w:rsidRDefault="00F45DF5" w:rsidP="00322902">
      <w:pPr>
        <w:pStyle w:val="ListParagraph"/>
        <w:numPr>
          <w:ilvl w:val="0"/>
          <w:numId w:val="25"/>
        </w:numPr>
        <w:rPr>
          <w:rFonts w:ascii="Arial" w:hAnsi="Arial" w:cs="Arial"/>
        </w:rPr>
      </w:pPr>
      <w:r w:rsidRPr="00322902">
        <w:rPr>
          <w:rFonts w:ascii="Arial" w:hAnsi="Arial" w:cs="Arial"/>
          <w:u w:val="single"/>
        </w:rPr>
        <w:t>Occupancy Condition</w:t>
      </w:r>
      <w:r w:rsidRPr="00322902">
        <w:rPr>
          <w:rFonts w:ascii="Arial" w:hAnsi="Arial" w:cs="Arial"/>
        </w:rPr>
        <w:t>: Tenant accepts Property condition upon move-in.</w:t>
      </w:r>
    </w:p>
    <w:p w14:paraId="136327F5" w14:textId="77777777" w:rsidR="00F45DF5" w:rsidRPr="00322902" w:rsidRDefault="00F45DF5" w:rsidP="00322902">
      <w:pPr>
        <w:pStyle w:val="ListParagraph"/>
        <w:numPr>
          <w:ilvl w:val="0"/>
          <w:numId w:val="25"/>
        </w:numPr>
        <w:rPr>
          <w:rFonts w:ascii="Arial" w:hAnsi="Arial" w:cs="Arial"/>
        </w:rPr>
      </w:pPr>
      <w:r w:rsidRPr="00322902">
        <w:rPr>
          <w:rFonts w:ascii="Arial" w:hAnsi="Arial" w:cs="Arial"/>
          <w:u w:val="single"/>
        </w:rPr>
        <w:t>Right of Entry</w:t>
      </w:r>
      <w:r w:rsidRPr="00322902">
        <w:rPr>
          <w:rFonts w:ascii="Arial" w:hAnsi="Arial" w:cs="Arial"/>
        </w:rPr>
        <w:t>: Landlord may enter with 24 hours' notice for certain reasons.</w:t>
      </w:r>
    </w:p>
    <w:p w14:paraId="5E009614" w14:textId="77777777" w:rsidR="00F45DF5" w:rsidRPr="00322902" w:rsidRDefault="00F45DF5" w:rsidP="00322902">
      <w:pPr>
        <w:pStyle w:val="ListParagraph"/>
        <w:numPr>
          <w:ilvl w:val="0"/>
          <w:numId w:val="25"/>
        </w:numPr>
        <w:rPr>
          <w:rFonts w:ascii="Arial" w:hAnsi="Arial" w:cs="Arial"/>
        </w:rPr>
      </w:pPr>
      <w:r w:rsidRPr="00322902">
        <w:rPr>
          <w:rFonts w:ascii="Arial" w:hAnsi="Arial" w:cs="Arial"/>
          <w:u w:val="single"/>
        </w:rPr>
        <w:t>Quiet Enjoyment</w:t>
      </w:r>
      <w:r w:rsidRPr="00322902">
        <w:rPr>
          <w:rFonts w:ascii="Arial" w:hAnsi="Arial" w:cs="Arial"/>
        </w:rPr>
        <w:t>: Tenant and Landlord are entitled to peaceful occupancy.</w:t>
      </w:r>
    </w:p>
    <w:p w14:paraId="578A6052" w14:textId="77777777" w:rsidR="00F45DF5" w:rsidRPr="00322902" w:rsidRDefault="00F45DF5" w:rsidP="00322902">
      <w:pPr>
        <w:pStyle w:val="ListParagraph"/>
        <w:numPr>
          <w:ilvl w:val="0"/>
          <w:numId w:val="25"/>
        </w:numPr>
        <w:rPr>
          <w:rFonts w:ascii="Arial" w:hAnsi="Arial" w:cs="Arial"/>
        </w:rPr>
      </w:pPr>
      <w:r w:rsidRPr="00322902">
        <w:rPr>
          <w:rFonts w:ascii="Arial" w:hAnsi="Arial" w:cs="Arial"/>
          <w:u w:val="single"/>
        </w:rPr>
        <w:t>Sale of Property</w:t>
      </w:r>
      <w:r w:rsidRPr="00322902">
        <w:rPr>
          <w:rFonts w:ascii="Arial" w:hAnsi="Arial" w:cs="Arial"/>
        </w:rPr>
        <w:t>: Agreement remains valid if Property is sold; new owner’s info provided.</w:t>
      </w:r>
    </w:p>
    <w:p w14:paraId="729E0892" w14:textId="77777777" w:rsidR="00F45DF5" w:rsidRPr="00322902" w:rsidRDefault="00F45DF5" w:rsidP="00322902">
      <w:pPr>
        <w:pStyle w:val="ListParagraph"/>
        <w:numPr>
          <w:ilvl w:val="0"/>
          <w:numId w:val="25"/>
        </w:numPr>
        <w:rPr>
          <w:rFonts w:ascii="Arial" w:hAnsi="Arial" w:cs="Arial"/>
        </w:rPr>
      </w:pPr>
      <w:r w:rsidRPr="00322902">
        <w:rPr>
          <w:rFonts w:ascii="Arial" w:hAnsi="Arial" w:cs="Arial"/>
          <w:u w:val="single"/>
        </w:rPr>
        <w:t>Severability</w:t>
      </w:r>
      <w:r w:rsidRPr="00322902">
        <w:rPr>
          <w:rFonts w:ascii="Arial" w:hAnsi="Arial" w:cs="Arial"/>
        </w:rPr>
        <w:t>: Invalid provisions don’t affect the rest of the Agreement.</w:t>
      </w:r>
    </w:p>
    <w:p w14:paraId="33BBC0A0" w14:textId="77777777" w:rsidR="00F45DF5" w:rsidRPr="00322902" w:rsidRDefault="00F45DF5" w:rsidP="00322902">
      <w:pPr>
        <w:pStyle w:val="ListParagraph"/>
        <w:numPr>
          <w:ilvl w:val="0"/>
          <w:numId w:val="25"/>
        </w:numPr>
        <w:rPr>
          <w:rFonts w:ascii="Arial" w:hAnsi="Arial" w:cs="Arial"/>
        </w:rPr>
      </w:pPr>
      <w:r w:rsidRPr="00322902">
        <w:rPr>
          <w:rFonts w:ascii="Arial" w:hAnsi="Arial" w:cs="Arial"/>
          <w:u w:val="single"/>
        </w:rPr>
        <w:t>Subletting</w:t>
      </w:r>
      <w:r w:rsidRPr="00322902">
        <w:rPr>
          <w:rFonts w:ascii="Arial" w:hAnsi="Arial" w:cs="Arial"/>
        </w:rPr>
        <w:t>: Allowed only with Landlord’s written consent, following Agreement terms.</w:t>
      </w:r>
    </w:p>
    <w:p w14:paraId="3B38E7EF" w14:textId="77777777" w:rsidR="00671DF9" w:rsidRDefault="00671DF9" w:rsidP="00F45DF5">
      <w:pPr>
        <w:rPr>
          <w:rFonts w:ascii="Arial" w:hAnsi="Arial" w:cs="Arial"/>
        </w:rPr>
      </w:pPr>
    </w:p>
    <w:p w14:paraId="44D99011" w14:textId="4F15B4A6" w:rsidR="00F45DF5" w:rsidRPr="00671DF9" w:rsidRDefault="00F45DF5" w:rsidP="00F45DF5">
      <w:pPr>
        <w:rPr>
          <w:rFonts w:ascii="Arial" w:hAnsi="Arial" w:cs="Arial"/>
          <w:b/>
          <w:bCs/>
        </w:rPr>
      </w:pPr>
      <w:r w:rsidRPr="00671DF9">
        <w:rPr>
          <w:rFonts w:ascii="Arial" w:hAnsi="Arial" w:cs="Arial"/>
          <w:b/>
          <w:bCs/>
        </w:rPr>
        <w:t xml:space="preserve">25. </w:t>
      </w:r>
      <w:r w:rsidR="005108A2">
        <w:rPr>
          <w:rFonts w:ascii="Arial" w:hAnsi="Arial" w:cs="Arial"/>
          <w:b/>
          <w:bCs/>
        </w:rPr>
        <w:t>DEFAULT.</w:t>
      </w:r>
    </w:p>
    <w:p w14:paraId="6978C320" w14:textId="77777777" w:rsidR="00F45DF5" w:rsidRPr="00F45DF5" w:rsidRDefault="00F45DF5" w:rsidP="00F45DF5">
      <w:pPr>
        <w:rPr>
          <w:rFonts w:ascii="Arial" w:hAnsi="Arial" w:cs="Arial"/>
        </w:rPr>
      </w:pPr>
    </w:p>
    <w:p w14:paraId="58E2927E" w14:textId="77777777" w:rsidR="00F45DF5" w:rsidRPr="009060DB" w:rsidRDefault="00F45DF5" w:rsidP="009060DB">
      <w:pPr>
        <w:pStyle w:val="ListParagraph"/>
        <w:numPr>
          <w:ilvl w:val="0"/>
          <w:numId w:val="27"/>
        </w:numPr>
        <w:rPr>
          <w:rFonts w:ascii="Arial" w:hAnsi="Arial" w:cs="Arial"/>
        </w:rPr>
      </w:pPr>
      <w:r w:rsidRPr="009060DB">
        <w:rPr>
          <w:rFonts w:ascii="Arial" w:hAnsi="Arial" w:cs="Arial"/>
          <w:u w:val="single"/>
        </w:rPr>
        <w:t>Tenant’s Default</w:t>
      </w:r>
      <w:r w:rsidRPr="009060DB">
        <w:rPr>
          <w:rFonts w:ascii="Arial" w:hAnsi="Arial" w:cs="Arial"/>
        </w:rPr>
        <w:t>: Occurs if rent isn’t paid or if other terms are breached. Landlord may pursue legal remedies.</w:t>
      </w:r>
    </w:p>
    <w:p w14:paraId="071ACCE2" w14:textId="77777777" w:rsidR="00F45DF5" w:rsidRPr="009060DB" w:rsidRDefault="00F45DF5" w:rsidP="009060DB">
      <w:pPr>
        <w:pStyle w:val="ListParagraph"/>
        <w:numPr>
          <w:ilvl w:val="0"/>
          <w:numId w:val="27"/>
        </w:numPr>
        <w:rPr>
          <w:rFonts w:ascii="Arial" w:hAnsi="Arial" w:cs="Arial"/>
        </w:rPr>
      </w:pPr>
      <w:r w:rsidRPr="009060DB">
        <w:rPr>
          <w:rFonts w:ascii="Arial" w:hAnsi="Arial" w:cs="Arial"/>
          <w:u w:val="single"/>
        </w:rPr>
        <w:t>Landlord’s Default</w:t>
      </w:r>
      <w:r w:rsidRPr="009060DB">
        <w:rPr>
          <w:rFonts w:ascii="Arial" w:hAnsi="Arial" w:cs="Arial"/>
        </w:rPr>
        <w:t>: If the Landlord fails obligations, Tenant may take legal action or deduct repair costs.</w:t>
      </w:r>
    </w:p>
    <w:p w14:paraId="2A32BD2A" w14:textId="77777777" w:rsidR="00F45DF5" w:rsidRPr="009060DB" w:rsidRDefault="00F45DF5" w:rsidP="009060DB">
      <w:pPr>
        <w:pStyle w:val="ListParagraph"/>
        <w:numPr>
          <w:ilvl w:val="0"/>
          <w:numId w:val="27"/>
        </w:numPr>
        <w:rPr>
          <w:rFonts w:ascii="Arial" w:hAnsi="Arial" w:cs="Arial"/>
        </w:rPr>
      </w:pPr>
      <w:r w:rsidRPr="009060DB">
        <w:rPr>
          <w:rFonts w:ascii="Arial" w:hAnsi="Arial" w:cs="Arial"/>
          <w:u w:val="single"/>
        </w:rPr>
        <w:t>Notice of Default</w:t>
      </w:r>
      <w:r w:rsidRPr="009060DB">
        <w:rPr>
          <w:rFonts w:ascii="Arial" w:hAnsi="Arial" w:cs="Arial"/>
        </w:rPr>
        <w:t>: Written notice required for any default.</w:t>
      </w:r>
    </w:p>
    <w:p w14:paraId="284A5DDE" w14:textId="77777777" w:rsidR="00671DF9" w:rsidRDefault="00671DF9" w:rsidP="00F45DF5">
      <w:pPr>
        <w:rPr>
          <w:rFonts w:ascii="Arial" w:hAnsi="Arial" w:cs="Arial"/>
        </w:rPr>
      </w:pPr>
    </w:p>
    <w:p w14:paraId="778FBD89" w14:textId="7812BA98" w:rsidR="00F45DF5" w:rsidRPr="00671DF9" w:rsidRDefault="00F45DF5" w:rsidP="00F45DF5">
      <w:pPr>
        <w:rPr>
          <w:rFonts w:ascii="Arial" w:hAnsi="Arial" w:cs="Arial"/>
          <w:b/>
          <w:bCs/>
        </w:rPr>
      </w:pPr>
      <w:r w:rsidRPr="00671DF9">
        <w:rPr>
          <w:rFonts w:ascii="Arial" w:hAnsi="Arial" w:cs="Arial"/>
          <w:b/>
          <w:bCs/>
        </w:rPr>
        <w:t xml:space="preserve">26. </w:t>
      </w:r>
      <w:r w:rsidR="005108A2">
        <w:rPr>
          <w:rFonts w:ascii="Arial" w:hAnsi="Arial" w:cs="Arial"/>
          <w:b/>
          <w:bCs/>
        </w:rPr>
        <w:t xml:space="preserve">PROHIBITED ACTIONS. </w:t>
      </w:r>
    </w:p>
    <w:p w14:paraId="60672355" w14:textId="77777777" w:rsidR="00F45DF5" w:rsidRPr="00F45DF5" w:rsidRDefault="00F45DF5" w:rsidP="00F45DF5">
      <w:pPr>
        <w:rPr>
          <w:rFonts w:ascii="Arial" w:hAnsi="Arial" w:cs="Arial"/>
        </w:rPr>
      </w:pPr>
    </w:p>
    <w:p w14:paraId="6FC369BD" w14:textId="77777777" w:rsidR="00F45DF5" w:rsidRPr="00362074" w:rsidRDefault="00F45DF5" w:rsidP="00362074">
      <w:pPr>
        <w:pStyle w:val="ListParagraph"/>
        <w:numPr>
          <w:ilvl w:val="0"/>
          <w:numId w:val="29"/>
        </w:numPr>
        <w:rPr>
          <w:rFonts w:ascii="Arial" w:hAnsi="Arial" w:cs="Arial"/>
        </w:rPr>
      </w:pPr>
      <w:r w:rsidRPr="00362074">
        <w:rPr>
          <w:rFonts w:ascii="Arial" w:hAnsi="Arial" w:cs="Arial"/>
        </w:rPr>
        <w:t>Assignment: Tenant can’t transfer Agreement without Landlord’s approval.</w:t>
      </w:r>
    </w:p>
    <w:p w14:paraId="36BC6D26" w14:textId="77777777" w:rsidR="00F45DF5" w:rsidRPr="00362074" w:rsidRDefault="00F45DF5" w:rsidP="00362074">
      <w:pPr>
        <w:pStyle w:val="ListParagraph"/>
        <w:numPr>
          <w:ilvl w:val="0"/>
          <w:numId w:val="29"/>
        </w:numPr>
        <w:rPr>
          <w:rFonts w:ascii="Arial" w:hAnsi="Arial" w:cs="Arial"/>
        </w:rPr>
      </w:pPr>
      <w:r w:rsidRPr="00362074">
        <w:rPr>
          <w:rFonts w:ascii="Arial" w:hAnsi="Arial" w:cs="Arial"/>
          <w:u w:val="single"/>
        </w:rPr>
        <w:lastRenderedPageBreak/>
        <w:t>Hazardous Materials</w:t>
      </w:r>
      <w:r w:rsidRPr="00362074">
        <w:rPr>
          <w:rFonts w:ascii="Arial" w:hAnsi="Arial" w:cs="Arial"/>
        </w:rPr>
        <w:t>: No flammable/explosive items on Property.</w:t>
      </w:r>
    </w:p>
    <w:p w14:paraId="75B41D73" w14:textId="77777777" w:rsidR="00F45DF5" w:rsidRPr="00362074" w:rsidRDefault="00F45DF5" w:rsidP="00362074">
      <w:pPr>
        <w:pStyle w:val="ListParagraph"/>
        <w:numPr>
          <w:ilvl w:val="0"/>
          <w:numId w:val="29"/>
        </w:numPr>
        <w:rPr>
          <w:rFonts w:ascii="Arial" w:hAnsi="Arial" w:cs="Arial"/>
        </w:rPr>
      </w:pPr>
      <w:r w:rsidRPr="00362074">
        <w:rPr>
          <w:rFonts w:ascii="Arial" w:hAnsi="Arial" w:cs="Arial"/>
          <w:u w:val="single"/>
        </w:rPr>
        <w:t>Illegal Activity</w:t>
      </w:r>
      <w:r w:rsidRPr="00362074">
        <w:rPr>
          <w:rFonts w:ascii="Arial" w:hAnsi="Arial" w:cs="Arial"/>
        </w:rPr>
        <w:t>: No illegal activity on Property. Violations can lead to eviction.</w:t>
      </w:r>
    </w:p>
    <w:p w14:paraId="19DAAC08" w14:textId="77777777" w:rsidR="00F45DF5" w:rsidRPr="00362074" w:rsidRDefault="00F45DF5" w:rsidP="00362074">
      <w:pPr>
        <w:pStyle w:val="ListParagraph"/>
        <w:numPr>
          <w:ilvl w:val="0"/>
          <w:numId w:val="29"/>
        </w:numPr>
        <w:rPr>
          <w:rFonts w:ascii="Arial" w:hAnsi="Arial" w:cs="Arial"/>
        </w:rPr>
      </w:pPr>
      <w:r w:rsidRPr="00362074">
        <w:rPr>
          <w:rFonts w:ascii="Arial" w:hAnsi="Arial" w:cs="Arial"/>
          <w:u w:val="single"/>
        </w:rPr>
        <w:t>Residential Use Only</w:t>
      </w:r>
      <w:r w:rsidRPr="00362074">
        <w:rPr>
          <w:rFonts w:ascii="Arial" w:hAnsi="Arial" w:cs="Arial"/>
        </w:rPr>
        <w:t>: Property for residential use only.</w:t>
      </w:r>
    </w:p>
    <w:p w14:paraId="75066DEB" w14:textId="77777777" w:rsidR="00F45DF5" w:rsidRPr="00362074" w:rsidRDefault="00F45DF5" w:rsidP="00362074">
      <w:pPr>
        <w:pStyle w:val="ListParagraph"/>
        <w:numPr>
          <w:ilvl w:val="0"/>
          <w:numId w:val="29"/>
        </w:numPr>
        <w:rPr>
          <w:rFonts w:ascii="Arial" w:hAnsi="Arial" w:cs="Arial"/>
        </w:rPr>
      </w:pPr>
      <w:r w:rsidRPr="00362074">
        <w:rPr>
          <w:rFonts w:ascii="Arial" w:hAnsi="Arial" w:cs="Arial"/>
          <w:u w:val="single"/>
        </w:rPr>
        <w:t>Waterbeds</w:t>
      </w:r>
      <w:r w:rsidRPr="00362074">
        <w:rPr>
          <w:rFonts w:ascii="Arial" w:hAnsi="Arial" w:cs="Arial"/>
        </w:rPr>
        <w:t>: Prohibited due to potential damage.</w:t>
      </w:r>
    </w:p>
    <w:p w14:paraId="468A21C1" w14:textId="77777777" w:rsidR="00671DF9" w:rsidRPr="00F45DF5" w:rsidRDefault="00671DF9" w:rsidP="00F45DF5">
      <w:pPr>
        <w:rPr>
          <w:rFonts w:ascii="Arial" w:hAnsi="Arial" w:cs="Arial"/>
        </w:rPr>
      </w:pPr>
    </w:p>
    <w:p w14:paraId="5153CFDC" w14:textId="12B3C75C" w:rsidR="00334B6E" w:rsidRPr="00B16B1C" w:rsidRDefault="00F45DF5" w:rsidP="00F45DF5">
      <w:pPr>
        <w:rPr>
          <w:rFonts w:ascii="Arial" w:hAnsi="Arial" w:cs="Arial"/>
        </w:rPr>
      </w:pPr>
      <w:r w:rsidRPr="00F45DF5">
        <w:rPr>
          <w:rFonts w:ascii="Arial" w:hAnsi="Arial" w:cs="Arial"/>
          <w:b/>
          <w:bCs/>
        </w:rPr>
        <w:t>27. Entire Agreement This Agreement supersedes all prior discussions and binds both Parties until the lease term expires or is terminated early.</w:t>
      </w: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293F2A0A"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r w:rsidR="00AC7F7F" w:rsidRPr="00B16B1C">
        <w:rPr>
          <w:rFonts w:ascii="Arial" w:hAnsi="Arial" w:cs="Arial"/>
        </w:rPr>
        <w:t>_________________________</w:t>
      </w:r>
      <w:r w:rsidR="00AC7F7F">
        <w:rPr>
          <w:rFonts w:ascii="Arial" w:hAnsi="Arial" w:cs="Arial"/>
        </w:rPr>
        <w:t xml:space="preserve"> </w:t>
      </w:r>
      <w:r w:rsidRPr="00B16B1C">
        <w:rPr>
          <w:rFonts w:ascii="Arial" w:hAnsi="Arial" w:cs="Arial"/>
        </w:rPr>
        <w:t>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496D6743"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r w:rsidR="00AC7F7F" w:rsidRPr="00B16B1C">
        <w:rPr>
          <w:rFonts w:ascii="Arial" w:hAnsi="Arial" w:cs="Arial"/>
        </w:rPr>
        <w:t>_________________________</w:t>
      </w:r>
      <w:r w:rsidR="00AC7F7F">
        <w:rPr>
          <w:rFonts w:ascii="Arial" w:hAnsi="Arial" w:cs="Arial"/>
        </w:rPr>
        <w:t xml:space="preserve"> </w:t>
      </w:r>
      <w:r w:rsidRPr="00B16B1C">
        <w:rPr>
          <w:rFonts w:ascii="Arial" w:hAnsi="Arial" w:cs="Arial"/>
        </w:rPr>
        <w:t>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3BCF8959"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r w:rsidR="00AC7F7F" w:rsidRPr="00B16B1C">
        <w:rPr>
          <w:rFonts w:ascii="Arial" w:hAnsi="Arial" w:cs="Arial"/>
        </w:rPr>
        <w:t>_________________________</w:t>
      </w:r>
      <w:r w:rsidR="00AC7F7F">
        <w:rPr>
          <w:rFonts w:ascii="Arial" w:hAnsi="Arial" w:cs="Arial"/>
        </w:rPr>
        <w:t xml:space="preserve"> </w:t>
      </w:r>
      <w:r w:rsidRPr="00B16B1C">
        <w:rPr>
          <w:rFonts w:ascii="Arial" w:hAnsi="Arial" w:cs="Arial"/>
        </w:rPr>
        <w:t>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47CD3545" w:rsidR="00251623" w:rsidRPr="00B16B1C" w:rsidRDefault="00443DCB" w:rsidP="00C717F9">
      <w:pPr>
        <w:rPr>
          <w:rFonts w:ascii="Arial" w:hAnsi="Arial" w:cs="Arial"/>
        </w:rPr>
      </w:pPr>
      <w:r w:rsidRPr="00B16B1C">
        <w:rPr>
          <w:rFonts w:ascii="Arial" w:hAnsi="Arial" w:cs="Arial"/>
        </w:rPr>
        <w:t xml:space="preserve">Pet Deposit </w:t>
      </w:r>
      <w:r w:rsidR="00251623" w:rsidRPr="00B16B1C">
        <w:rPr>
          <w:rFonts w:ascii="Arial" w:hAnsi="Arial" w:cs="Arial"/>
        </w:rPr>
        <w:t>$</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00251623" w:rsidRPr="00B16B1C">
        <w:rPr>
          <w:rFonts w:ascii="Arial" w:hAnsi="Arial" w:cs="Arial"/>
        </w:rPr>
        <w:t xml:space="preserve"> (section 1</w:t>
      </w:r>
      <w:r>
        <w:rPr>
          <w:rFonts w:ascii="Arial" w:hAnsi="Arial" w:cs="Arial"/>
        </w:rPr>
        <w:t>1</w:t>
      </w:r>
      <w:r w:rsidR="00251623"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7F1B1A1E" w:rsidR="00251623" w:rsidRPr="00B16B1C" w:rsidRDefault="00251623" w:rsidP="00C717F9">
      <w:pPr>
        <w:rPr>
          <w:rFonts w:ascii="Arial" w:hAnsi="Arial" w:cs="Arial"/>
        </w:rPr>
      </w:pPr>
      <w:r w:rsidRPr="00B16B1C">
        <w:rPr>
          <w:rFonts w:ascii="Arial" w:hAnsi="Arial" w:cs="Arial"/>
        </w:rPr>
        <w:t>P</w:t>
      </w:r>
      <w:r w:rsidR="00443DCB">
        <w:rPr>
          <w:rFonts w:ascii="Arial" w:hAnsi="Arial" w:cs="Arial"/>
        </w:rPr>
        <w:t>arking Fee</w:t>
      </w:r>
      <w:r w:rsidRPr="00B16B1C">
        <w:rPr>
          <w:rFonts w:ascii="Arial" w:hAnsi="Arial" w:cs="Arial"/>
        </w:rPr>
        <w:t xml:space="preserve">: </w:t>
      </w:r>
      <w:r w:rsidR="00AB5057" w:rsidRPr="00B16B1C">
        <w:rPr>
          <w:rFonts w:ascii="Arial" w:hAnsi="Arial" w:cs="Arial"/>
        </w:rPr>
        <w:fldChar w:fldCharType="begin">
          <w:ffData>
            <w:name w:val=""/>
            <w:enabled/>
            <w:calcOnExit w:val="0"/>
            <w:textInput>
              <w:default w:val="[DESCRIBE PARKING FEE]"/>
            </w:textInput>
          </w:ffData>
        </w:fldChar>
      </w:r>
      <w:r w:rsidR="00AB5057" w:rsidRPr="00B16B1C">
        <w:rPr>
          <w:rFonts w:ascii="Arial" w:hAnsi="Arial" w:cs="Arial"/>
        </w:rPr>
        <w:instrText xml:space="preserve"> FORMTEXT </w:instrText>
      </w:r>
      <w:r w:rsidR="00AB5057" w:rsidRPr="00B16B1C">
        <w:rPr>
          <w:rFonts w:ascii="Arial" w:hAnsi="Arial" w:cs="Arial"/>
        </w:rPr>
      </w:r>
      <w:r w:rsidR="00AB5057" w:rsidRPr="00B16B1C">
        <w:rPr>
          <w:rFonts w:ascii="Arial" w:hAnsi="Arial" w:cs="Arial"/>
        </w:rPr>
        <w:fldChar w:fldCharType="separate"/>
      </w:r>
      <w:r w:rsidR="00AB5057" w:rsidRPr="00B16B1C">
        <w:rPr>
          <w:rFonts w:ascii="Arial" w:hAnsi="Arial" w:cs="Arial"/>
          <w:noProof/>
        </w:rPr>
        <w:t>[DESCRIBE PARKING FEE]</w:t>
      </w:r>
      <w:r w:rsidR="00AB5057" w:rsidRPr="00B16B1C">
        <w:rPr>
          <w:rFonts w:ascii="Arial" w:hAnsi="Arial" w:cs="Arial"/>
        </w:rPr>
        <w:fldChar w:fldCharType="end"/>
      </w:r>
      <w:r w:rsidRPr="00B16B1C">
        <w:rPr>
          <w:rFonts w:ascii="Arial" w:hAnsi="Arial" w:cs="Arial"/>
        </w:rPr>
        <w:t xml:space="preserve"> (section 1</w:t>
      </w:r>
      <w:r w:rsidR="00443DCB">
        <w:rPr>
          <w:rFonts w:ascii="Arial" w:hAnsi="Arial" w:cs="Arial"/>
        </w:rPr>
        <w:t>3</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2D829696" w:rsidR="001A5A8C"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p w14:paraId="05D7D3D5" w14:textId="77777777" w:rsidR="001A5A8C" w:rsidRDefault="001A5A8C">
      <w:pPr>
        <w:spacing w:after="160" w:line="278" w:lineRule="auto"/>
        <w:rPr>
          <w:rFonts w:ascii="Arial" w:hAnsi="Arial" w:cs="Arial"/>
        </w:rPr>
      </w:pPr>
      <w:r>
        <w:rPr>
          <w:rFonts w:ascii="Arial" w:hAnsi="Arial" w:cs="Arial"/>
        </w:rPr>
        <w:br w:type="page"/>
      </w:r>
    </w:p>
    <w:p w14:paraId="7BAB707A" w14:textId="77777777" w:rsidR="001A5A8C" w:rsidRPr="00536412" w:rsidRDefault="001A5A8C" w:rsidP="001A5A8C">
      <w:pPr>
        <w:jc w:val="center"/>
        <w:rPr>
          <w:rFonts w:ascii="Arial" w:hAnsi="Arial" w:cs="Arial"/>
        </w:rPr>
      </w:pPr>
      <w:r>
        <w:rPr>
          <w:rFonts w:ascii="Arial" w:hAnsi="Arial" w:cs="Arial"/>
          <w:b/>
          <w:bCs/>
          <w:sz w:val="32"/>
          <w:szCs w:val="32"/>
        </w:rPr>
        <w:lastRenderedPageBreak/>
        <w:t>ALABAMA</w:t>
      </w:r>
      <w:r w:rsidRPr="00B16B1C">
        <w:rPr>
          <w:rFonts w:ascii="Arial" w:hAnsi="Arial" w:cs="Arial"/>
          <w:b/>
          <w:bCs/>
          <w:sz w:val="32"/>
          <w:szCs w:val="32"/>
        </w:rPr>
        <w:t xml:space="preserve"> LEASE DISCLOSURES</w:t>
      </w:r>
    </w:p>
    <w:p w14:paraId="7B06FE10" w14:textId="77777777" w:rsidR="001A5A8C" w:rsidRDefault="001A5A8C" w:rsidP="001A5A8C">
      <w:pPr>
        <w:rPr>
          <w:rFonts w:ascii="Arial" w:hAnsi="Arial" w:cs="Arial"/>
        </w:rPr>
      </w:pPr>
    </w:p>
    <w:p w14:paraId="564DB4DB" w14:textId="77777777" w:rsidR="001A5A8C" w:rsidRDefault="001A5A8C" w:rsidP="001A5A8C">
      <w:pPr>
        <w:rPr>
          <w:rFonts w:ascii="Arial" w:hAnsi="Arial" w:cs="Arial"/>
        </w:rPr>
      </w:pPr>
      <w:r>
        <w:rPr>
          <w:rFonts w:ascii="Arial" w:hAnsi="Arial" w:cs="Arial"/>
          <w:b/>
          <w:bCs/>
        </w:rPr>
        <w:t>1</w:t>
      </w:r>
      <w:r w:rsidRPr="00B16B1C">
        <w:rPr>
          <w:rFonts w:ascii="Arial" w:hAnsi="Arial" w:cs="Arial"/>
          <w:b/>
          <w:bCs/>
        </w:rPr>
        <w:t>.) Lead-Based Paint Disclosure &amp; EPA Pamphlet</w:t>
      </w:r>
      <w:r w:rsidRPr="00B16B1C">
        <w:rPr>
          <w:rFonts w:ascii="Arial" w:hAnsi="Arial" w:cs="Arial"/>
        </w:rPr>
        <w:t xml:space="preserve"> (conditional)</w:t>
      </w:r>
      <w:r>
        <w:rPr>
          <w:rFonts w:ascii="Arial" w:hAnsi="Arial" w:cs="Arial"/>
        </w:rPr>
        <w:t>.</w:t>
      </w:r>
      <w:r w:rsidRPr="00B16B1C">
        <w:rPr>
          <w:rFonts w:ascii="Arial" w:hAnsi="Arial" w:cs="Arial"/>
        </w:rPr>
        <w:t xml:space="preserve"> If the residence was constructed before January 1, 1978, the disclosure must be completed and signed.</w:t>
      </w:r>
    </w:p>
    <w:p w14:paraId="7E2017F0" w14:textId="77777777" w:rsidR="001A5A8C" w:rsidRDefault="001A5A8C" w:rsidP="001A5A8C">
      <w:pPr>
        <w:rPr>
          <w:rFonts w:ascii="Arial" w:hAnsi="Arial" w:cs="Arial"/>
        </w:rPr>
      </w:pPr>
    </w:p>
    <w:p w14:paraId="30433EFC" w14:textId="77777777" w:rsidR="001A5A8C" w:rsidRDefault="001A5A8C" w:rsidP="001A5A8C">
      <w:pPr>
        <w:rPr>
          <w:rFonts w:ascii="Arial" w:hAnsi="Arial" w:cs="Arial"/>
          <w:color w:val="262626"/>
          <w:shd w:val="clear" w:color="auto" w:fill="FFFFFF"/>
        </w:rPr>
      </w:pPr>
      <w:r w:rsidRPr="00DE0EAA">
        <w:rPr>
          <w:rFonts w:ascii="Arial" w:hAnsi="Arial" w:cs="Arial"/>
          <w:b/>
          <w:bCs/>
        </w:rPr>
        <w:t>2.) Owner/Manager Identification</w:t>
      </w:r>
      <w:r>
        <w:rPr>
          <w:rFonts w:ascii="Arial" w:hAnsi="Arial" w:cs="Arial"/>
        </w:rPr>
        <w:t xml:space="preserve">. </w:t>
      </w:r>
      <w:r>
        <w:rPr>
          <w:rFonts w:ascii="Arial" w:hAnsi="Arial" w:cs="Arial"/>
          <w:color w:val="262626"/>
          <w:shd w:val="clear" w:color="auto" w:fill="FFFFFF"/>
        </w:rPr>
        <w:t>All agreements must state the name and address of the person in charge of maintaining the premises, whether the landlord or someone instructed to act on their behalf.</w:t>
      </w:r>
    </w:p>
    <w:p w14:paraId="1ED4197F" w14:textId="77777777" w:rsidR="001A5A8C" w:rsidRDefault="001A5A8C" w:rsidP="001A5A8C">
      <w:pPr>
        <w:rPr>
          <w:rFonts w:ascii="Arial" w:hAnsi="Arial" w:cs="Arial"/>
          <w:color w:val="262626"/>
          <w:shd w:val="clear" w:color="auto" w:fill="FFFFFF"/>
        </w:rPr>
      </w:pPr>
    </w:p>
    <w:p w14:paraId="49E2EFB5" w14:textId="511C526D" w:rsidR="001A5A8C" w:rsidRPr="00536412" w:rsidRDefault="001A5A8C" w:rsidP="001A5A8C">
      <w:pPr>
        <w:rPr>
          <w:rFonts w:ascii="Arial" w:hAnsi="Arial" w:cs="Arial"/>
        </w:rPr>
      </w:pPr>
      <w:r w:rsidRPr="00DE0EAA">
        <w:rPr>
          <w:rFonts w:ascii="Arial" w:hAnsi="Arial" w:cs="Arial"/>
          <w:b/>
          <w:bCs/>
          <w:color w:val="262626"/>
          <w:shd w:val="clear" w:color="auto" w:fill="FFFFFF"/>
        </w:rPr>
        <w:t>3.) Abandonment</w:t>
      </w:r>
      <w:r>
        <w:rPr>
          <w:rFonts w:ascii="Arial" w:hAnsi="Arial" w:cs="Arial"/>
          <w:color w:val="262626"/>
          <w:shd w:val="clear" w:color="auto" w:fill="FFFFFF"/>
        </w:rPr>
        <w:t xml:space="preserve">. This Agreement requires the Tenant to give notice to the Landlord </w:t>
      </w:r>
      <w:r w:rsidRPr="00DE0EAA">
        <w:rPr>
          <w:rFonts w:ascii="Arial" w:hAnsi="Arial" w:cs="Arial"/>
          <w:color w:val="262626"/>
          <w:shd w:val="clear" w:color="auto" w:fill="FFFFFF"/>
        </w:rPr>
        <w:t xml:space="preserve">of an anticipated extended absence </w:t>
      </w:r>
      <w:r w:rsidR="00B55B8D" w:rsidRPr="00DE0EAA">
        <w:rPr>
          <w:rFonts w:ascii="Arial" w:hAnsi="Arial" w:cs="Arial"/>
          <w:color w:val="262626"/>
          <w:shd w:val="clear" w:color="auto" w:fill="FFFFFF"/>
        </w:rPr>
        <w:t>more than</w:t>
      </w:r>
      <w:r w:rsidR="00B55B8D">
        <w:rPr>
          <w:rFonts w:ascii="Arial" w:hAnsi="Arial" w:cs="Arial"/>
          <w:color w:val="262626"/>
          <w:shd w:val="clear" w:color="auto" w:fill="FFFFFF"/>
        </w:rPr>
        <w:t xml:space="preserve"> </w:t>
      </w:r>
      <w:r w:rsidRPr="00DE0EAA">
        <w:rPr>
          <w:rFonts w:ascii="Arial" w:hAnsi="Arial" w:cs="Arial"/>
          <w:color w:val="262626"/>
          <w:shd w:val="clear" w:color="auto" w:fill="FFFFFF"/>
        </w:rPr>
        <w:t xml:space="preserve">14 days pursuant to Section 35-9A-304 and the </w:t>
      </w:r>
      <w:r>
        <w:rPr>
          <w:rFonts w:ascii="Arial" w:hAnsi="Arial" w:cs="Arial"/>
          <w:color w:val="262626"/>
          <w:shd w:val="clear" w:color="auto" w:fill="FFFFFF"/>
        </w:rPr>
        <w:t>T</w:t>
      </w:r>
      <w:r w:rsidRPr="00DE0EAA">
        <w:rPr>
          <w:rFonts w:ascii="Arial" w:hAnsi="Arial" w:cs="Arial"/>
          <w:color w:val="262626"/>
          <w:shd w:val="clear" w:color="auto" w:fill="FFFFFF"/>
        </w:rPr>
        <w:t xml:space="preserve">enant willfully fails to do so, the </w:t>
      </w:r>
      <w:r>
        <w:rPr>
          <w:rFonts w:ascii="Arial" w:hAnsi="Arial" w:cs="Arial"/>
          <w:color w:val="262626"/>
          <w:shd w:val="clear" w:color="auto" w:fill="FFFFFF"/>
        </w:rPr>
        <w:t>L</w:t>
      </w:r>
      <w:r w:rsidRPr="00DE0EAA">
        <w:rPr>
          <w:rFonts w:ascii="Arial" w:hAnsi="Arial" w:cs="Arial"/>
          <w:color w:val="262626"/>
          <w:shd w:val="clear" w:color="auto" w:fill="FFFFFF"/>
        </w:rPr>
        <w:t xml:space="preserve">andlord may recover actual damages from the </w:t>
      </w:r>
      <w:r>
        <w:rPr>
          <w:rFonts w:ascii="Arial" w:hAnsi="Arial" w:cs="Arial"/>
          <w:color w:val="262626"/>
          <w:shd w:val="clear" w:color="auto" w:fill="FFFFFF"/>
        </w:rPr>
        <w:t>T</w:t>
      </w:r>
      <w:r w:rsidRPr="00DE0EAA">
        <w:rPr>
          <w:rFonts w:ascii="Arial" w:hAnsi="Arial" w:cs="Arial"/>
          <w:color w:val="262626"/>
          <w:shd w:val="clear" w:color="auto" w:fill="FFFFFF"/>
        </w:rPr>
        <w:t>enant.</w:t>
      </w:r>
    </w:p>
    <w:p w14:paraId="579FEE37" w14:textId="77777777" w:rsidR="006229DB" w:rsidRPr="006229DB" w:rsidRDefault="006229DB" w:rsidP="007B7A0D">
      <w:pPr>
        <w:rPr>
          <w:rFonts w:ascii="Arial" w:hAnsi="Arial" w:cs="Arial"/>
        </w:rPr>
      </w:pPr>
    </w:p>
    <w:sectPr w:rsidR="006229DB" w:rsidRPr="006229DB" w:rsidSect="0076282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8545A" w14:textId="77777777" w:rsidR="00111648" w:rsidRDefault="00111648" w:rsidP="00D111D0">
      <w:r>
        <w:separator/>
      </w:r>
    </w:p>
  </w:endnote>
  <w:endnote w:type="continuationSeparator" w:id="0">
    <w:p w14:paraId="7E163AD0" w14:textId="77777777" w:rsidR="00111648" w:rsidRDefault="00111648"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4192552"/>
      <w:docPartObj>
        <w:docPartGallery w:val="Page Numbers (Bottom of Page)"/>
        <w:docPartUnique/>
      </w:docPartObj>
    </w:sdtPr>
    <w:sdtContent>
      <w:p w14:paraId="492071BB" w14:textId="36A754BE" w:rsidR="00D72B91" w:rsidRDefault="00D72B91" w:rsidP="007701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659A2C" w14:textId="77777777" w:rsidR="00D72B91" w:rsidRDefault="00D72B91" w:rsidP="00D72B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1598735"/>
      <w:docPartObj>
        <w:docPartGallery w:val="Page Numbers (Bottom of Page)"/>
        <w:docPartUnique/>
      </w:docPartObj>
    </w:sdtPr>
    <w:sdtContent>
      <w:p w14:paraId="2AF7A40C" w14:textId="048162A4" w:rsidR="00D72B91" w:rsidRDefault="00D72B91" w:rsidP="007701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EA8754" w14:textId="35339CAA" w:rsidR="00000000" w:rsidRDefault="00D72B91" w:rsidP="00D72B91">
    <w:pPr>
      <w:ind w:right="360"/>
    </w:pPr>
    <w:hyperlink r:id="rId1" w:history="1">
      <w:proofErr w:type="spellStart"/>
      <w:r w:rsidRPr="00D72B91">
        <w:rPr>
          <w:rStyle w:val="Hyperlink"/>
        </w:rPr>
        <w:t>SimpleForms</w:t>
      </w:r>
      <w:proofErr w:type="spellEnd"/>
    </w:hyperlink>
    <w:r>
      <w:ptab w:relativeTo="margin" w:alignment="center" w:leader="none"/>
    </w:r>
    <w:r>
      <w:ptab w:relativeTo="margin" w:alignment="right" w:leader="none"/>
    </w:r>
    <w:r w:rsidR="00000000">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2B5B" w14:textId="77777777" w:rsidR="00111648" w:rsidRDefault="00111648" w:rsidP="00D111D0">
      <w:r>
        <w:separator/>
      </w:r>
    </w:p>
  </w:footnote>
  <w:footnote w:type="continuationSeparator" w:id="0">
    <w:p w14:paraId="32C13774" w14:textId="77777777" w:rsidR="00111648" w:rsidRDefault="00111648"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6013159"/>
    <w:multiLevelType w:val="hybridMultilevel"/>
    <w:tmpl w:val="D7020EEA"/>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484BA7"/>
    <w:multiLevelType w:val="hybridMultilevel"/>
    <w:tmpl w:val="003C80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A52B60"/>
    <w:multiLevelType w:val="hybridMultilevel"/>
    <w:tmpl w:val="8ED4C0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683D72"/>
    <w:multiLevelType w:val="hybridMultilevel"/>
    <w:tmpl w:val="18CCB8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9871F74"/>
    <w:multiLevelType w:val="hybridMultilevel"/>
    <w:tmpl w:val="9AAC47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A61376"/>
    <w:multiLevelType w:val="hybridMultilevel"/>
    <w:tmpl w:val="8B7ED5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C2736C"/>
    <w:multiLevelType w:val="hybridMultilevel"/>
    <w:tmpl w:val="B3322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E53E33"/>
    <w:multiLevelType w:val="hybridMultilevel"/>
    <w:tmpl w:val="FFBC95D6"/>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8"/>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9"/>
  </w:num>
  <w:num w:numId="10" w16cid:durableId="1436055860">
    <w:abstractNumId w:val="6"/>
  </w:num>
  <w:num w:numId="11" w16cid:durableId="2112623890">
    <w:abstractNumId w:val="5"/>
  </w:num>
  <w:num w:numId="12" w16cid:durableId="2440452">
    <w:abstractNumId w:val="27"/>
  </w:num>
  <w:num w:numId="13" w16cid:durableId="1674140427">
    <w:abstractNumId w:val="0"/>
  </w:num>
  <w:num w:numId="14" w16cid:durableId="1619069124">
    <w:abstractNumId w:val="22"/>
  </w:num>
  <w:num w:numId="15" w16cid:durableId="899554622">
    <w:abstractNumId w:val="10"/>
  </w:num>
  <w:num w:numId="16" w16cid:durableId="1575703322">
    <w:abstractNumId w:val="18"/>
  </w:num>
  <w:num w:numId="17" w16cid:durableId="792138809">
    <w:abstractNumId w:val="26"/>
  </w:num>
  <w:num w:numId="18" w16cid:durableId="1601528348">
    <w:abstractNumId w:val="23"/>
  </w:num>
  <w:num w:numId="19" w16cid:durableId="1008487877">
    <w:abstractNumId w:val="3"/>
  </w:num>
  <w:num w:numId="20" w16cid:durableId="419570311">
    <w:abstractNumId w:val="11"/>
  </w:num>
  <w:num w:numId="21" w16cid:durableId="706367690">
    <w:abstractNumId w:val="8"/>
  </w:num>
  <w:num w:numId="22" w16cid:durableId="1619483152">
    <w:abstractNumId w:val="15"/>
  </w:num>
  <w:num w:numId="23" w16cid:durableId="1308634701">
    <w:abstractNumId w:val="24"/>
  </w:num>
  <w:num w:numId="24" w16cid:durableId="1343631712">
    <w:abstractNumId w:val="20"/>
  </w:num>
  <w:num w:numId="25" w16cid:durableId="1645114554">
    <w:abstractNumId w:val="17"/>
  </w:num>
  <w:num w:numId="26" w16cid:durableId="236061131">
    <w:abstractNumId w:val="21"/>
  </w:num>
  <w:num w:numId="27" w16cid:durableId="1969192364">
    <w:abstractNumId w:val="25"/>
  </w:num>
  <w:num w:numId="28" w16cid:durableId="1205487469">
    <w:abstractNumId w:val="16"/>
  </w:num>
  <w:num w:numId="29" w16cid:durableId="17700052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26034"/>
    <w:rsid w:val="000413E9"/>
    <w:rsid w:val="00046B47"/>
    <w:rsid w:val="00086EF0"/>
    <w:rsid w:val="00087B1D"/>
    <w:rsid w:val="00092529"/>
    <w:rsid w:val="000A68AB"/>
    <w:rsid w:val="000C03C6"/>
    <w:rsid w:val="000C4369"/>
    <w:rsid w:val="000E03DD"/>
    <w:rsid w:val="000E1E4A"/>
    <w:rsid w:val="000E38FD"/>
    <w:rsid w:val="000E5A71"/>
    <w:rsid w:val="000F0636"/>
    <w:rsid w:val="000F6877"/>
    <w:rsid w:val="00105D88"/>
    <w:rsid w:val="00107192"/>
    <w:rsid w:val="00111648"/>
    <w:rsid w:val="00114E1A"/>
    <w:rsid w:val="0011629F"/>
    <w:rsid w:val="00123E5A"/>
    <w:rsid w:val="00130F3A"/>
    <w:rsid w:val="001329AC"/>
    <w:rsid w:val="001442D5"/>
    <w:rsid w:val="00146C74"/>
    <w:rsid w:val="00161D45"/>
    <w:rsid w:val="0016214F"/>
    <w:rsid w:val="00176321"/>
    <w:rsid w:val="00184B9E"/>
    <w:rsid w:val="00191F13"/>
    <w:rsid w:val="00194866"/>
    <w:rsid w:val="001A5A8C"/>
    <w:rsid w:val="001A5EF2"/>
    <w:rsid w:val="001A6AB2"/>
    <w:rsid w:val="001D07DE"/>
    <w:rsid w:val="001D0978"/>
    <w:rsid w:val="001E7F52"/>
    <w:rsid w:val="001F022F"/>
    <w:rsid w:val="001F0417"/>
    <w:rsid w:val="001F2E8E"/>
    <w:rsid w:val="001F64B8"/>
    <w:rsid w:val="00236D3B"/>
    <w:rsid w:val="002442F4"/>
    <w:rsid w:val="00251623"/>
    <w:rsid w:val="00255694"/>
    <w:rsid w:val="00255B1E"/>
    <w:rsid w:val="00262508"/>
    <w:rsid w:val="00274D02"/>
    <w:rsid w:val="002753CD"/>
    <w:rsid w:val="00276D75"/>
    <w:rsid w:val="00290E4B"/>
    <w:rsid w:val="00294BA8"/>
    <w:rsid w:val="002B627F"/>
    <w:rsid w:val="002D4500"/>
    <w:rsid w:val="002E1CFE"/>
    <w:rsid w:val="0030124C"/>
    <w:rsid w:val="003027BC"/>
    <w:rsid w:val="00303B1E"/>
    <w:rsid w:val="00305F89"/>
    <w:rsid w:val="003165BF"/>
    <w:rsid w:val="00322902"/>
    <w:rsid w:val="00330D97"/>
    <w:rsid w:val="00334080"/>
    <w:rsid w:val="00334B6E"/>
    <w:rsid w:val="00334B7B"/>
    <w:rsid w:val="00340746"/>
    <w:rsid w:val="00340F8D"/>
    <w:rsid w:val="00362074"/>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4064B2"/>
    <w:rsid w:val="004110BD"/>
    <w:rsid w:val="0041129A"/>
    <w:rsid w:val="00414D84"/>
    <w:rsid w:val="00426CAD"/>
    <w:rsid w:val="00431F21"/>
    <w:rsid w:val="00443DCB"/>
    <w:rsid w:val="004573BD"/>
    <w:rsid w:val="0046557D"/>
    <w:rsid w:val="004728AF"/>
    <w:rsid w:val="00473293"/>
    <w:rsid w:val="00474A44"/>
    <w:rsid w:val="0048029D"/>
    <w:rsid w:val="0048369E"/>
    <w:rsid w:val="00484DE8"/>
    <w:rsid w:val="004A0500"/>
    <w:rsid w:val="004A238C"/>
    <w:rsid w:val="004A3E21"/>
    <w:rsid w:val="004B434A"/>
    <w:rsid w:val="004B687F"/>
    <w:rsid w:val="004D40C4"/>
    <w:rsid w:val="004E22FC"/>
    <w:rsid w:val="004E5082"/>
    <w:rsid w:val="0050327C"/>
    <w:rsid w:val="005043B3"/>
    <w:rsid w:val="005068AC"/>
    <w:rsid w:val="005108A2"/>
    <w:rsid w:val="0051503F"/>
    <w:rsid w:val="00517D30"/>
    <w:rsid w:val="00524CAA"/>
    <w:rsid w:val="00536412"/>
    <w:rsid w:val="0053772A"/>
    <w:rsid w:val="005465F4"/>
    <w:rsid w:val="00552636"/>
    <w:rsid w:val="0055502E"/>
    <w:rsid w:val="005606EE"/>
    <w:rsid w:val="005742E8"/>
    <w:rsid w:val="005967D5"/>
    <w:rsid w:val="005A5909"/>
    <w:rsid w:val="005B0B3E"/>
    <w:rsid w:val="005C0620"/>
    <w:rsid w:val="005D07A8"/>
    <w:rsid w:val="005D20D2"/>
    <w:rsid w:val="005E4206"/>
    <w:rsid w:val="005F5223"/>
    <w:rsid w:val="005F6540"/>
    <w:rsid w:val="006014AE"/>
    <w:rsid w:val="00601CCD"/>
    <w:rsid w:val="006132B5"/>
    <w:rsid w:val="006175A5"/>
    <w:rsid w:val="0062162A"/>
    <w:rsid w:val="006229DB"/>
    <w:rsid w:val="00631BC4"/>
    <w:rsid w:val="00671DF9"/>
    <w:rsid w:val="00674F60"/>
    <w:rsid w:val="00676C86"/>
    <w:rsid w:val="00684E06"/>
    <w:rsid w:val="006913EA"/>
    <w:rsid w:val="0069609B"/>
    <w:rsid w:val="006A1F65"/>
    <w:rsid w:val="006A5498"/>
    <w:rsid w:val="006B1E1C"/>
    <w:rsid w:val="006C5A26"/>
    <w:rsid w:val="006D116A"/>
    <w:rsid w:val="006D1DAC"/>
    <w:rsid w:val="006E6C37"/>
    <w:rsid w:val="006E772E"/>
    <w:rsid w:val="006E789F"/>
    <w:rsid w:val="006F0D27"/>
    <w:rsid w:val="00704BA4"/>
    <w:rsid w:val="007067FB"/>
    <w:rsid w:val="0072245A"/>
    <w:rsid w:val="00723340"/>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75067"/>
    <w:rsid w:val="00884CD0"/>
    <w:rsid w:val="00886FE4"/>
    <w:rsid w:val="00890BD9"/>
    <w:rsid w:val="008938A3"/>
    <w:rsid w:val="008A29C3"/>
    <w:rsid w:val="008B6F3A"/>
    <w:rsid w:val="008D1A6A"/>
    <w:rsid w:val="008D2158"/>
    <w:rsid w:val="008D424D"/>
    <w:rsid w:val="008E037A"/>
    <w:rsid w:val="008F1FCE"/>
    <w:rsid w:val="008F32EB"/>
    <w:rsid w:val="008F5499"/>
    <w:rsid w:val="009060DB"/>
    <w:rsid w:val="009077F5"/>
    <w:rsid w:val="00911F8F"/>
    <w:rsid w:val="0092055F"/>
    <w:rsid w:val="00937FC2"/>
    <w:rsid w:val="00952B50"/>
    <w:rsid w:val="009540F0"/>
    <w:rsid w:val="009606CD"/>
    <w:rsid w:val="00974A65"/>
    <w:rsid w:val="00974E1B"/>
    <w:rsid w:val="009757EA"/>
    <w:rsid w:val="00983493"/>
    <w:rsid w:val="00987BD2"/>
    <w:rsid w:val="00993950"/>
    <w:rsid w:val="009C20C8"/>
    <w:rsid w:val="009D056B"/>
    <w:rsid w:val="009D35B4"/>
    <w:rsid w:val="009D78F1"/>
    <w:rsid w:val="009E06FF"/>
    <w:rsid w:val="009E0E42"/>
    <w:rsid w:val="009E4E7F"/>
    <w:rsid w:val="009F1F1F"/>
    <w:rsid w:val="009F702E"/>
    <w:rsid w:val="009F731C"/>
    <w:rsid w:val="009F7520"/>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B5057"/>
    <w:rsid w:val="00AC4CAD"/>
    <w:rsid w:val="00AC68B1"/>
    <w:rsid w:val="00AC6AE8"/>
    <w:rsid w:val="00AC7F7F"/>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4D64"/>
    <w:rsid w:val="00B55B8D"/>
    <w:rsid w:val="00B65C19"/>
    <w:rsid w:val="00B73C61"/>
    <w:rsid w:val="00B906FC"/>
    <w:rsid w:val="00B91531"/>
    <w:rsid w:val="00BA287F"/>
    <w:rsid w:val="00BA5998"/>
    <w:rsid w:val="00BA6A64"/>
    <w:rsid w:val="00BB3267"/>
    <w:rsid w:val="00BC2D4C"/>
    <w:rsid w:val="00BD703A"/>
    <w:rsid w:val="00BE122E"/>
    <w:rsid w:val="00BF12F7"/>
    <w:rsid w:val="00BF5286"/>
    <w:rsid w:val="00BF5CB4"/>
    <w:rsid w:val="00BF6527"/>
    <w:rsid w:val="00BF6F56"/>
    <w:rsid w:val="00C061AA"/>
    <w:rsid w:val="00C12554"/>
    <w:rsid w:val="00C239E3"/>
    <w:rsid w:val="00C31694"/>
    <w:rsid w:val="00C538FC"/>
    <w:rsid w:val="00C637BB"/>
    <w:rsid w:val="00C7095C"/>
    <w:rsid w:val="00C717F9"/>
    <w:rsid w:val="00C73991"/>
    <w:rsid w:val="00C75583"/>
    <w:rsid w:val="00CB0E01"/>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2B91"/>
    <w:rsid w:val="00D754BF"/>
    <w:rsid w:val="00D80EF9"/>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A78FD"/>
    <w:rsid w:val="00EB15D2"/>
    <w:rsid w:val="00EB7341"/>
    <w:rsid w:val="00EC1015"/>
    <w:rsid w:val="00EC3072"/>
    <w:rsid w:val="00EC34E1"/>
    <w:rsid w:val="00ED5B93"/>
    <w:rsid w:val="00EE0AB2"/>
    <w:rsid w:val="00EE20A1"/>
    <w:rsid w:val="00EE21A7"/>
    <w:rsid w:val="00EE37AF"/>
    <w:rsid w:val="00EE5EB4"/>
    <w:rsid w:val="00EF03D9"/>
    <w:rsid w:val="00EF44D7"/>
    <w:rsid w:val="00F12F0B"/>
    <w:rsid w:val="00F17C47"/>
    <w:rsid w:val="00F24A52"/>
    <w:rsid w:val="00F26CB7"/>
    <w:rsid w:val="00F3081F"/>
    <w:rsid w:val="00F336D8"/>
    <w:rsid w:val="00F45DF5"/>
    <w:rsid w:val="00F54BFE"/>
    <w:rsid w:val="00F563A9"/>
    <w:rsid w:val="00F57902"/>
    <w:rsid w:val="00F600C4"/>
    <w:rsid w:val="00F658D4"/>
    <w:rsid w:val="00F80E64"/>
    <w:rsid w:val="00F83588"/>
    <w:rsid w:val="00F86E2C"/>
    <w:rsid w:val="00FC712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1575</Words>
  <Characters>8499</Characters>
  <Application>Microsoft Office Word</Application>
  <DocSecurity>0</DocSecurity>
  <Lines>315</Lines>
  <Paragraphs>194</Paragraphs>
  <ScaleCrop>false</ScaleCrop>
  <HeadingPairs>
    <vt:vector size="2" baseType="variant">
      <vt:variant>
        <vt:lpstr>Title</vt:lpstr>
      </vt:variant>
      <vt:variant>
        <vt:i4>1</vt:i4>
      </vt:variant>
    </vt:vector>
  </HeadingPairs>
  <TitlesOfParts>
    <vt:vector size="1" baseType="lpstr">
      <vt:lpstr>Alabama Month-to-Month Lease Agreement</vt:lpstr>
    </vt:vector>
  </TitlesOfParts>
  <Manager/>
  <Company/>
  <LinksUpToDate>false</LinksUpToDate>
  <CharactersWithSpaces>9893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Month-to-Month Lease Agreement</dc:title>
  <dc:subject>Month-to-Month</dc:subject>
  <dc:creator>SimpleForms</dc:creator>
  <cp:keywords>AL</cp:keywords>
  <dc:description/>
  <cp:lastModifiedBy>Caroline Brin</cp:lastModifiedBy>
  <cp:revision>2</cp:revision>
  <dcterms:created xsi:type="dcterms:W3CDTF">2024-11-11T12:29:00Z</dcterms:created>
  <dcterms:modified xsi:type="dcterms:W3CDTF">2024-11-11T12:29:00Z</dcterms:modified>
  <cp:category/>
</cp:coreProperties>
</file>